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Override PartName="/word/drawings/drawing6.xml" ContentType="application/vnd.openxmlformats-officedocument.drawingml.chartshapes+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header8.xml" ContentType="application/vnd.openxmlformats-officedocument.wordprocessingml.header+xml"/>
  <Override PartName="/word/charts/colors8.xml" ContentType="application/vnd.ms-office.chartcolorstyle+xml"/>
  <Override PartName="/word/stylesWithEffects.xml" ContentType="application/vnd.ms-word.stylesWithEffects+xml"/>
  <Override PartName="/word/footer3.xml" ContentType="application/vnd.openxmlformats-officedocument.wordprocessingml.footer+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drawings/drawing14.xml" ContentType="application/vnd.openxmlformats-officedocument.drawingml.chartshapes+xml"/>
  <Override PartName="/docProps/custom.xml" ContentType="application/vnd.openxmlformats-officedocument.custom-properties+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olors4.xml" ContentType="application/vnd.ms-office.chartcolorstyle+xml"/>
  <Override PartName="/word/charts/style7.xml" ContentType="application/vnd.ms-office.chartstyle+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drawings/drawing10.xml" ContentType="application/vnd.openxmlformats-officedocument.drawingml.chartshapes+xml"/>
  <Override PartName="/word/charts/style3.xml" ContentType="application/vnd.ms-office.chartstyle+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Override PartName="/word/theme/themeOverride2.xml" ContentType="application/vnd.openxmlformats-officedocument.themeOverride+xml"/>
  <Override PartName="/word/drawings/drawing9.xml" ContentType="application/vnd.openxmlformats-officedocument.drawingml.chartshapes+xml"/>
  <Default Extension="jpeg" ContentType="image/jpeg"/>
  <Default Extension="emf" ContentType="image/x-emf"/>
  <Override PartName="/word/charts/chart49.xml" ContentType="application/vnd.openxmlformats-officedocument.drawingml.chart+xml"/>
  <Override PartName="/word/drawings/drawing7.xml" ContentType="application/vnd.openxmlformats-officedocument.drawingml.chartshapes+xml"/>
  <Override PartName="/word/charts/chart69.xml" ContentType="application/vnd.openxmlformats-officedocument.drawingml.chart+xml"/>
  <Override PartName="/word/charts/colors9.xml" ContentType="application/vnd.ms-office.chartcolorsty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charts/colors7.xml" ContentType="application/vnd.ms-office.chartcolorstyle+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drawings/drawing15.xml" ContentType="application/vnd.openxmlformats-officedocument.drawingml.chartshapes+xml"/>
  <Override PartName="/word/header7.xml" ContentType="application/vnd.openxmlformats-officedocument.wordprocessingml.header+xml"/>
  <Override PartName="/word/charts/style8.xml" ContentType="application/vnd.ms-office.chartstyle+xml"/>
  <Override PartName="/word/charts/colors5.xml" ContentType="application/vnd.ms-office.chartcolorstyle+xml"/>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drawings/drawing13.xml" ContentType="application/vnd.openxmlformats-officedocument.drawingml.chartshapes+xml"/>
  <Override PartName="/word/theme/theme1.xml" ContentType="application/vnd.openxmlformats-officedocument.theme+xml"/>
  <Override PartName="/word/charts/style6.xml" ContentType="application/vnd.ms-office.chartstyle+xml"/>
  <Override PartName="/word/charts/style10.xml" ContentType="application/vnd.ms-office.chartstyle+xml"/>
  <Override PartName="/word/charts/colors10.xml" ContentType="application/vnd.ms-office.chartcolorstyle+xml"/>
  <Override PartName="/word/charts/colors3.xml" ContentType="application/vnd.ms-office.chartcolorstyl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drawings/drawing11.xml" ContentType="application/vnd.openxmlformats-officedocument.drawingml.chartshapes+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charts/style4.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charts/style2.xml" ContentType="application/vnd.ms-office.chartstyle+xml"/>
  <Override PartName="/word/footnotes.xml" ContentType="application/vnd.openxmlformats-officedocument.wordprocessingml.footnotes+xml"/>
  <Override PartName="/word/drawings/drawing8.xml" ContentType="application/vnd.openxmlformats-officedocument.drawingml.chartshapes+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57.xml" ContentType="application/vnd.openxmlformats-officedocument.drawingml.chart+xml"/>
  <Override PartName="/word/footer5.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olors6.xml" ContentType="application/vnd.ms-office.chartcolorstyle+xml"/>
  <Override PartName="/word/charts/style9.xml" ContentType="application/vnd.ms-office.chartstyle+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drawings/drawing12.xml" ContentType="application/vnd.openxmlformats-officedocument.drawingml.chartshapes+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olors2.xml" ContentType="application/vnd.ms-office.chartcolorstyle+xml"/>
  <Override PartName="/word/charts/style5.xml" ContentType="application/vnd.ms-office.chartstyle+xml"/>
  <Override PartName="/word/charts/chart20.xml" ContentType="application/vnd.openxmlformats-officedocument.drawingml.chart+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tblpXSpec="center" w:tblpY="1"/>
        <w:tblOverlap w:val="never"/>
        <w:tblW w:w="4536" w:type="dxa"/>
        <w:tblLayout w:type="fixed"/>
        <w:tblCellMar>
          <w:left w:w="0" w:type="dxa"/>
          <w:right w:w="0" w:type="dxa"/>
        </w:tblCellMar>
        <w:tblLook w:val="0000"/>
      </w:tblPr>
      <w:tblGrid>
        <w:gridCol w:w="4536"/>
      </w:tblGrid>
      <w:tr w:rsidR="001C49E5" w:rsidTr="00842404">
        <w:trPr>
          <w:cantSplit/>
        </w:trPr>
        <w:tc>
          <w:tcPr>
            <w:tcW w:w="4536" w:type="dxa"/>
          </w:tcPr>
          <w:p w:rsidR="001C49E5" w:rsidRDefault="001C49E5">
            <w:pPr>
              <w:pStyle w:val="zcompanyname"/>
            </w:pPr>
            <w:bookmarkStart w:id="0" w:name="CompanyName1" w:colFirst="0" w:colLast="0"/>
          </w:p>
        </w:tc>
      </w:tr>
      <w:tr w:rsidR="00722796" w:rsidTr="00842404">
        <w:trPr>
          <w:cantSplit/>
        </w:trPr>
        <w:tc>
          <w:tcPr>
            <w:tcW w:w="4536" w:type="dxa"/>
          </w:tcPr>
          <w:p w:rsidR="00722796" w:rsidRPr="00384394" w:rsidRDefault="003A0A02" w:rsidP="00384394">
            <w:pPr>
              <w:pStyle w:val="zreportname"/>
              <w:rPr>
                <w:b/>
                <w:sz w:val="40"/>
              </w:rPr>
            </w:pPr>
            <w:bookmarkStart w:id="1" w:name="ReportName1" w:colFirst="0" w:colLast="0"/>
            <w:bookmarkEnd w:id="0"/>
            <w:r w:rsidRPr="00AB6BBE">
              <w:rPr>
                <w:b/>
                <w:sz w:val="40"/>
              </w:rPr>
              <w:t xml:space="preserve">Los </w:t>
            </w:r>
            <w:r w:rsidR="00263316" w:rsidRPr="00AB6BBE">
              <w:rPr>
                <w:b/>
                <w:sz w:val="40"/>
              </w:rPr>
              <w:t>Centros Especiales de Empleo</w:t>
            </w:r>
            <w:r w:rsidRPr="00AB6BBE">
              <w:rPr>
                <w:b/>
                <w:sz w:val="40"/>
              </w:rPr>
              <w:t xml:space="preserve"> de Castilla y León</w:t>
            </w:r>
          </w:p>
        </w:tc>
      </w:tr>
      <w:tr w:rsidR="00722796" w:rsidTr="00842404">
        <w:trPr>
          <w:cantSplit/>
        </w:trPr>
        <w:tc>
          <w:tcPr>
            <w:tcW w:w="4536" w:type="dxa"/>
          </w:tcPr>
          <w:p w:rsidR="00722796" w:rsidRDefault="00722796">
            <w:pPr>
              <w:pStyle w:val="zreportsubtitle"/>
            </w:pPr>
            <w:bookmarkStart w:id="2" w:name="Subtitle" w:colFirst="0" w:colLast="0"/>
            <w:bookmarkEnd w:id="1"/>
          </w:p>
        </w:tc>
      </w:tr>
    </w:tbl>
    <w:bookmarkEnd w:id="2"/>
    <w:p w:rsidR="001C49E5" w:rsidRDefault="00D86A55">
      <w:pPr>
        <w:rPr>
          <w:szCs w:val="22"/>
        </w:rPr>
      </w:pPr>
      <w:r>
        <w:rPr>
          <w:noProof/>
          <w:szCs w:val="22"/>
          <w:lang w:eastAsia="es-ES"/>
        </w:rPr>
        <w:br w:type="textWrapping" w:clear="all"/>
      </w:r>
    </w:p>
    <w:p w:rsidR="001C49E5" w:rsidRDefault="001C49E5"/>
    <w:p w:rsidR="00A86889" w:rsidRDefault="00A86889"/>
    <w:p w:rsidR="00A86889" w:rsidRDefault="00951A28">
      <w:r w:rsidRPr="00A86889">
        <w:rPr>
          <w:noProof/>
          <w:lang w:eastAsia="es-ES"/>
        </w:rPr>
        <w:drawing>
          <wp:anchor distT="0" distB="0" distL="114300" distR="114300" simplePos="0" relativeHeight="251694080" behindDoc="1" locked="0" layoutInCell="1" allowOverlap="1">
            <wp:simplePos x="0" y="0"/>
            <wp:positionH relativeFrom="column">
              <wp:posOffset>99695</wp:posOffset>
            </wp:positionH>
            <wp:positionV relativeFrom="paragraph">
              <wp:posOffset>3089910</wp:posOffset>
            </wp:positionV>
            <wp:extent cx="962025" cy="561181"/>
            <wp:effectExtent l="0" t="0" r="0" b="0"/>
            <wp:wrapNone/>
            <wp:docPr id="255"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Escudo JCyL (2).b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3821" cy="562229"/>
                    </a:xfrm>
                    <a:prstGeom prst="rect">
                      <a:avLst/>
                    </a:prstGeom>
                  </pic:spPr>
                </pic:pic>
              </a:graphicData>
            </a:graphic>
          </wp:anchor>
        </w:drawing>
      </w:r>
      <w:r w:rsidRPr="00A86889">
        <w:rPr>
          <w:noProof/>
          <w:lang w:eastAsia="es-ES"/>
        </w:rPr>
        <w:drawing>
          <wp:anchor distT="0" distB="0" distL="114300" distR="114300" simplePos="0" relativeHeight="251687936" behindDoc="0" locked="0" layoutInCell="1" allowOverlap="1">
            <wp:simplePos x="0" y="0"/>
            <wp:positionH relativeFrom="column">
              <wp:posOffset>99695</wp:posOffset>
            </wp:positionH>
            <wp:positionV relativeFrom="paragraph">
              <wp:posOffset>1518285</wp:posOffset>
            </wp:positionV>
            <wp:extent cx="1546860" cy="480926"/>
            <wp:effectExtent l="0" t="0" r="0" b="0"/>
            <wp:wrapNone/>
            <wp:docPr id="24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undacion_once_ne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0577" cy="482082"/>
                    </a:xfrm>
                    <a:prstGeom prst="rect">
                      <a:avLst/>
                    </a:prstGeom>
                  </pic:spPr>
                </pic:pic>
              </a:graphicData>
            </a:graphic>
          </wp:anchor>
        </w:drawing>
      </w:r>
      <w:r w:rsidRPr="00A86889">
        <w:rPr>
          <w:noProof/>
          <w:lang w:eastAsia="es-ES"/>
        </w:rPr>
        <w:drawing>
          <wp:anchor distT="0" distB="0" distL="114300" distR="114300" simplePos="0" relativeHeight="251689984" behindDoc="0" locked="0" layoutInCell="1" allowOverlap="1">
            <wp:simplePos x="0" y="0"/>
            <wp:positionH relativeFrom="column">
              <wp:posOffset>2042795</wp:posOffset>
            </wp:positionH>
            <wp:positionV relativeFrom="paragraph">
              <wp:posOffset>1537335</wp:posOffset>
            </wp:positionV>
            <wp:extent cx="1028700" cy="438992"/>
            <wp:effectExtent l="0" t="0" r="0" b="0"/>
            <wp:wrapNone/>
            <wp:docPr id="25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ONCE_INSERTA_logo_CMYK_medi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9185" cy="439199"/>
                    </a:xfrm>
                    <a:prstGeom prst="rect">
                      <a:avLst/>
                    </a:prstGeom>
                  </pic:spPr>
                </pic:pic>
              </a:graphicData>
            </a:graphic>
          </wp:anchor>
        </w:drawing>
      </w:r>
      <w:r w:rsidRPr="00A86889">
        <w:rPr>
          <w:noProof/>
          <w:lang w:eastAsia="es-ES"/>
        </w:rPr>
        <w:drawing>
          <wp:anchor distT="0" distB="0" distL="114300" distR="114300" simplePos="0" relativeHeight="251688960" behindDoc="0" locked="0" layoutInCell="1" allowOverlap="1">
            <wp:simplePos x="0" y="0"/>
            <wp:positionH relativeFrom="column">
              <wp:posOffset>4445</wp:posOffset>
            </wp:positionH>
            <wp:positionV relativeFrom="paragraph">
              <wp:posOffset>451485</wp:posOffset>
            </wp:positionV>
            <wp:extent cx="1428750" cy="824279"/>
            <wp:effectExtent l="0" t="0" r="0" b="0"/>
            <wp:wrapNone/>
            <wp:docPr id="25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S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1827" cy="826054"/>
                    </a:xfrm>
                    <a:prstGeom prst="rect">
                      <a:avLst/>
                    </a:prstGeom>
                  </pic:spPr>
                </pic:pic>
              </a:graphicData>
            </a:graphic>
          </wp:anchor>
        </w:drawing>
      </w:r>
      <w:r w:rsidR="00AC67C0">
        <w:rPr>
          <w:noProof/>
          <w:lang w:eastAsia="es-ES"/>
        </w:rPr>
        <w:pict>
          <v:shapetype id="_x0000_t202" coordsize="21600,21600" o:spt="202" path="m,l,21600r21600,l21600,xe">
            <v:stroke joinstyle="miter"/>
            <v:path gradientshapeok="t" o:connecttype="rect"/>
          </v:shapetype>
          <v:shape id="Text Box 53" o:spid="_x0000_s1026" type="#_x0000_t202" style="position:absolute;margin-left:200.3pt;margin-top:237.3pt;width:91.5pt;height: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LqigIAAIwFAAAOAAAAZHJzL2Uyb0RvYy54bWysVE1v2zAMvQ/YfxB0X52kT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" fillcolor="white [3201]" stroked="f" strokeweight=".5pt">
            <v:textbox>
              <w:txbxContent>
                <w:p w:rsidR="00A86889" w:rsidRPr="00DC58C7" w:rsidRDefault="00A86889" w:rsidP="00A86889">
                  <w:pPr>
                    <w:rPr>
                      <w:sz w:val="24"/>
                      <w:lang w:val="es-ES_tradnl"/>
                    </w:rPr>
                  </w:pPr>
                  <w:r w:rsidRPr="008B4296">
                    <w:rPr>
                      <w:noProof/>
                      <w:lang w:eastAsia="es-ES"/>
                    </w:rPr>
                    <w:drawing>
                      <wp:inline distT="0" distB="0" distL="0" distR="0">
                        <wp:extent cx="683260" cy="714086"/>
                        <wp:effectExtent l="0" t="0" r="2540" b="0"/>
                        <wp:docPr id="54" name="Picture 54" descr="\\Esmadfsr20\med_amb\Clientes_y_Targets\Fundación_ONCE\CEE_Castilla_y_León_NP3043410\_Logos\feacem_castilla_y_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madfsr20\med_amb\Clientes_y_Targets\Fundación_ONCE\CEE_Castilla_y_León_NP3043410\_Logos\feacem_castilla_y_leon.jpg"/>
                                <pic:cNvPicPr>
                                  <a:picLocks noChangeAspect="1" noChangeArrowheads="1"/>
                                </pic:cNvPicPr>
                              </pic:nvPicPr>
                              <pic:blipFill>
                                <a:blip r:embed="rId12">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173" cy="733853"/>
                                </a:xfrm>
                                <a:prstGeom prst="rect">
                                  <a:avLst/>
                                </a:prstGeom>
                                <a:noFill/>
                                <a:ln>
                                  <a:noFill/>
                                </a:ln>
                              </pic:spPr>
                            </pic:pic>
                          </a:graphicData>
                        </a:graphic>
                      </wp:inline>
                    </w:drawing>
                  </w:r>
                </w:p>
              </w:txbxContent>
            </v:textbox>
          </v:shape>
        </w:pict>
      </w:r>
      <w:r w:rsidR="00AC67C0">
        <w:rPr>
          <w:noProof/>
          <w:lang w:eastAsia="es-ES"/>
        </w:rPr>
        <w:pict>
          <v:shape id="Text Box 50" o:spid="_x0000_s1027" type="#_x0000_t202" style="position:absolute;margin-left:116.3pt;margin-top:237.55pt;width:74.25pt;height:6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" fillcolor="white [3201]" stroked="f" strokeweight=".5pt">
            <v:textbox>
              <w:txbxContent>
                <w:p w:rsidR="00A86889" w:rsidRPr="00DC58C7" w:rsidRDefault="00A86889" w:rsidP="00A86889">
                  <w:pPr>
                    <w:rPr>
                      <w:sz w:val="24"/>
                      <w:lang w:val="es-ES_tradnl"/>
                    </w:rPr>
                  </w:pPr>
                  <w:r w:rsidRPr="008B4296">
                    <w:rPr>
                      <w:noProof/>
                      <w:lang w:eastAsia="es-ES"/>
                    </w:rPr>
                    <w:drawing>
                      <wp:inline distT="0" distB="0" distL="0" distR="0">
                        <wp:extent cx="676389" cy="589280"/>
                        <wp:effectExtent l="0" t="0" r="9525" b="1270"/>
                        <wp:docPr id="52" name="Picture 52" descr="\\Esmadfsr20\med_amb\Clientes_y_Targets\Fundación_ONCE\CEE_Castilla_y_León_NP3043410\_Logos\FEA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madfsr20\med_amb\Clientes_y_Targets\Fundación_ONCE\CEE_Castilla_y_León_NP3043410\_Logos\FEACEM.jpg"/>
                                <pic:cNvPicPr>
                                  <a:picLocks noChangeAspect="1" noChangeArrowheads="1"/>
                                </pic:cNvPicPr>
                              </pic:nvPicPr>
                              <pic:blipFill>
                                <a:blip r:embed="rId13">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553" cy="601620"/>
                                </a:xfrm>
                                <a:prstGeom prst="rect">
                                  <a:avLst/>
                                </a:prstGeom>
                                <a:noFill/>
                                <a:ln>
                                  <a:noFill/>
                                </a:ln>
                              </pic:spPr>
                            </pic:pic>
                          </a:graphicData>
                        </a:graphic>
                      </wp:inline>
                    </w:drawing>
                  </w:r>
                </w:p>
              </w:txbxContent>
            </v:textbox>
          </v:shape>
        </w:pict>
      </w:r>
      <w:r w:rsidR="00AC67C0">
        <w:rPr>
          <w:noProof/>
          <w:lang w:eastAsia="es-ES"/>
        </w:rPr>
        <w:pict>
          <v:shape id="Text Box 44" o:spid="_x0000_s1028" type="#_x0000_t202" style="position:absolute;margin-left:7.55pt;margin-top:209.8pt;width:247.75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" fillcolor="white [3201]" stroked="f" strokeweight=".5pt">
            <v:textbox>
              <w:txbxContent>
                <w:p w:rsidR="00A86889" w:rsidRPr="00DC58C7" w:rsidRDefault="00A86889" w:rsidP="00A86889">
                  <w:pPr>
                    <w:rPr>
                      <w:sz w:val="24"/>
                      <w:lang w:val="es-ES_tradnl"/>
                    </w:rPr>
                  </w:pPr>
                  <w:r w:rsidRPr="00DC58C7">
                    <w:rPr>
                      <w:sz w:val="24"/>
                      <w:lang w:val="es-ES_tradnl"/>
                    </w:rPr>
                    <w:t>COLABORA</w:t>
                  </w:r>
                </w:p>
              </w:txbxContent>
            </v:textbox>
          </v:shape>
        </w:pict>
      </w:r>
      <w:r w:rsidR="00A86889">
        <w:br w:type="page"/>
      </w:r>
      <w:r w:rsidR="00AC67C0">
        <w:rPr>
          <w:noProof/>
          <w:lang w:eastAsia="es-ES"/>
        </w:rPr>
        <w:pict>
          <v:shape id="Text Box 248" o:spid="_x0000_s1029" type="#_x0000_t202" style="position:absolute;margin-left:145.65pt;margin-top:41.35pt;width:247.7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" fillcolor="white [3201]" stroked="f" strokeweight=".5pt">
            <v:textbox>
              <w:txbxContent>
                <w:p w:rsidR="00A86889" w:rsidRPr="00960391" w:rsidRDefault="00A86889" w:rsidP="00A86889">
                  <w:pPr>
                    <w:rPr>
                      <w:lang w:val="es-ES_tradnl"/>
                    </w:rPr>
                  </w:pPr>
                  <w:r w:rsidRPr="008B4296">
                    <w:rPr>
                      <w:noProof/>
                      <w:lang w:eastAsia="es-ES"/>
                    </w:rPr>
                    <w:drawing>
                      <wp:inline distT="0" distB="0" distL="0" distR="0">
                        <wp:extent cx="2019300" cy="571139"/>
                        <wp:effectExtent l="0" t="0" r="0" b="635"/>
                        <wp:docPr id="48" name="Picture 48" descr="\\Esmadfsr20\med_amb\Clientes_y_Targets\Fundación_ONCE\CEE_Castilla_y_León_NP3043410\_Logos\MT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madfsr20\med_amb\Clientes_y_Targets\Fundación_ONCE\CEE_Castilla_y_León_NP3043410\_Logos\MTASS.jpg"/>
                                <pic:cNvPicPr>
                                  <a:picLocks noChangeAspect="1" noChangeArrowheads="1"/>
                                </pic:cNvPicPr>
                              </pic:nvPicPr>
                              <pic:blipFill>
                                <a:blip r:embed="rId14">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632" cy="574910"/>
                                </a:xfrm>
                                <a:prstGeom prst="rect">
                                  <a:avLst/>
                                </a:prstGeom>
                                <a:noFill/>
                                <a:ln>
                                  <a:noFill/>
                                </a:ln>
                              </pic:spPr>
                            </pic:pic>
                          </a:graphicData>
                        </a:graphic>
                      </wp:inline>
                    </w:drawing>
                  </w:r>
                </w:p>
              </w:txbxContent>
            </v:textbox>
          </v:shape>
        </w:pict>
      </w:r>
      <w:r w:rsidR="00AC67C0">
        <w:rPr>
          <w:noProof/>
          <w:lang w:eastAsia="es-ES"/>
        </w:rPr>
        <w:pict>
          <v:shape id="Text Box 34" o:spid="_x0000_s1030" type="#_x0000_t202" style="position:absolute;margin-left:7.5pt;margin-top:-.05pt;width:247.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" fillcolor="white [3201]" stroked="f" strokeweight=".5pt">
            <v:textbox>
              <w:txbxContent>
                <w:p w:rsidR="00A86889" w:rsidRPr="00DC58C7" w:rsidRDefault="00A86889" w:rsidP="00A86889">
                  <w:pPr>
                    <w:rPr>
                      <w:b/>
                      <w:sz w:val="24"/>
                      <w:lang w:val="es-ES_tradnl"/>
                    </w:rPr>
                  </w:pPr>
                  <w:r w:rsidRPr="00DC58C7">
                    <w:rPr>
                      <w:b/>
                      <w:sz w:val="24"/>
                      <w:lang w:val="es-ES_tradnl"/>
                    </w:rPr>
                    <w:t>COFINANCIA</w:t>
                  </w:r>
                </w:p>
              </w:txbxContent>
            </v:textbox>
          </v:shape>
        </w:pict>
      </w:r>
    </w:p>
    <w:p w:rsidR="00A86889" w:rsidRPr="00A86889" w:rsidRDefault="00A86889" w:rsidP="00AB6BBE">
      <w:pPr>
        <w:jc w:val="both"/>
        <w:rPr>
          <w:szCs w:val="22"/>
        </w:rPr>
      </w:pPr>
      <w:r w:rsidRPr="001E22B3">
        <w:rPr>
          <w:szCs w:val="22"/>
        </w:rPr>
        <w:lastRenderedPageBreak/>
        <w:t>Estudio elaborado por KPMG en el marco del protocolo de colaboración firmado el 3 de diciembre de 2013 entre la Consejería de Economía y Empleo de la Junta de Castilla y León, la Fundación ONCE, FSC Inserta, Federación Empresarial Española de Asociaciones de Centros Especiales de Empleo (FEACEM) y la Asociación de Centros Especiales de Empleo de Iniciativa Social de Castilla y León (FEACEM-Castilla y León). Este estudio también se enmarca en el Programa Operativo del FSE de Lucha contra la Discriminación 2007-2013 cofinanciado por el Fondo Social Europeo</w:t>
      </w:r>
      <w:r w:rsidRPr="009242EA">
        <w:rPr>
          <w:szCs w:val="22"/>
        </w:rPr>
        <w:t>.</w:t>
      </w:r>
    </w:p>
    <w:p w:rsidR="00A86889" w:rsidRDefault="00A86889">
      <w:r>
        <w:br w:type="page"/>
      </w:r>
    </w:p>
    <w:p w:rsidR="001C49E5" w:rsidRDefault="001C49E5">
      <w:pPr>
        <w:sectPr w:rsidR="001C49E5" w:rsidSect="00842404">
          <w:headerReference w:type="even" r:id="rId15"/>
          <w:headerReference w:type="default" r:id="rId16"/>
          <w:footerReference w:type="even" r:id="rId17"/>
          <w:footerReference w:type="default" r:id="rId18"/>
          <w:headerReference w:type="first" r:id="rId19"/>
          <w:footerReference w:type="first" r:id="rId20"/>
          <w:pgSz w:w="11907" w:h="16840" w:code="9"/>
          <w:pgMar w:top="6464" w:right="1417" w:bottom="1588" w:left="1474" w:header="737" w:footer="737" w:gutter="454"/>
          <w:pgNumType w:start="1"/>
          <w:cols w:space="720"/>
        </w:sectPr>
      </w:pPr>
    </w:p>
    <w:p w:rsidR="001C49E5" w:rsidRDefault="005573EA">
      <w:pPr>
        <w:pStyle w:val="zcontents"/>
      </w:pPr>
      <w:r>
        <w:lastRenderedPageBreak/>
        <w:t>Contenidos</w:t>
      </w:r>
    </w:p>
    <w:p w:rsidR="00614DA5" w:rsidRDefault="00AC67C0">
      <w:pPr>
        <w:pStyle w:val="TDC1"/>
        <w:rPr>
          <w:rFonts w:asciiTheme="minorHAnsi" w:eastAsiaTheme="minorEastAsia" w:hAnsiTheme="minorHAnsi" w:cstheme="minorBidi"/>
          <w:noProof/>
          <w:sz w:val="22"/>
          <w:szCs w:val="22"/>
          <w:lang w:eastAsia="es-ES"/>
        </w:rPr>
      </w:pPr>
      <w:r w:rsidRPr="00AC67C0">
        <w:rPr>
          <w:b/>
        </w:rPr>
        <w:fldChar w:fldCharType="begin"/>
      </w:r>
      <w:r w:rsidR="005573EA" w:rsidRPr="00947607">
        <w:rPr>
          <w:b/>
        </w:rPr>
        <w:instrText xml:space="preserve"> TOC \o “1-3” \t “Appendix Heading,1,Appendix Heading 2,2” </w:instrText>
      </w:r>
      <w:r w:rsidRPr="00AC67C0">
        <w:rPr>
          <w:b/>
        </w:rPr>
        <w:fldChar w:fldCharType="separate"/>
      </w:r>
      <w:r w:rsidR="00614DA5" w:rsidRPr="000A1126">
        <w:rPr>
          <w:noProof/>
          <w:lang w:val="es-ES_tradnl"/>
        </w:rPr>
        <w:t>1</w:t>
      </w:r>
      <w:r w:rsidR="00614DA5">
        <w:rPr>
          <w:rFonts w:asciiTheme="minorHAnsi" w:eastAsiaTheme="minorEastAsia" w:hAnsiTheme="minorHAnsi" w:cstheme="minorBidi"/>
          <w:noProof/>
          <w:sz w:val="22"/>
          <w:szCs w:val="22"/>
          <w:lang w:eastAsia="es-ES"/>
        </w:rPr>
        <w:tab/>
      </w:r>
      <w:r w:rsidR="00614DA5">
        <w:rPr>
          <w:noProof/>
        </w:rPr>
        <w:t>Introducción: Las personas con discapacidad y la labor social de los Centros Especiales de Empleo</w:t>
      </w:r>
      <w:r w:rsidR="00614DA5">
        <w:rPr>
          <w:noProof/>
        </w:rPr>
        <w:tab/>
      </w:r>
      <w:r>
        <w:rPr>
          <w:noProof/>
        </w:rPr>
        <w:fldChar w:fldCharType="begin"/>
      </w:r>
      <w:r w:rsidR="00614DA5">
        <w:rPr>
          <w:noProof/>
        </w:rPr>
        <w:instrText xml:space="preserve"> PAGEREF _Toc410916857 \h </w:instrText>
      </w:r>
      <w:r>
        <w:rPr>
          <w:noProof/>
        </w:rPr>
      </w:r>
      <w:r>
        <w:rPr>
          <w:noProof/>
        </w:rPr>
        <w:fldChar w:fldCharType="separate"/>
      </w:r>
      <w:r w:rsidR="00614DA5">
        <w:rPr>
          <w:noProof/>
        </w:rPr>
        <w:t>1</w:t>
      </w:r>
      <w:r>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1.1</w:t>
      </w:r>
      <w:r>
        <w:rPr>
          <w:rFonts w:asciiTheme="minorHAnsi" w:eastAsiaTheme="minorEastAsia" w:hAnsiTheme="minorHAnsi" w:cstheme="minorBidi"/>
          <w:noProof/>
          <w:sz w:val="22"/>
          <w:szCs w:val="22"/>
          <w:lang w:eastAsia="es-ES"/>
        </w:rPr>
        <w:tab/>
      </w:r>
      <w:r w:rsidRPr="000A1126">
        <w:rPr>
          <w:noProof/>
          <w:lang w:val="es-ES_tradnl"/>
        </w:rPr>
        <w:t>Acerca de este informe</w:t>
      </w:r>
      <w:r>
        <w:rPr>
          <w:noProof/>
        </w:rPr>
        <w:tab/>
      </w:r>
      <w:r w:rsidR="00AC67C0">
        <w:rPr>
          <w:noProof/>
        </w:rPr>
        <w:fldChar w:fldCharType="begin"/>
      </w:r>
      <w:r>
        <w:rPr>
          <w:noProof/>
        </w:rPr>
        <w:instrText xml:space="preserve"> PAGEREF _Toc410916858 \h </w:instrText>
      </w:r>
      <w:r w:rsidR="00AC67C0">
        <w:rPr>
          <w:noProof/>
        </w:rPr>
      </w:r>
      <w:r w:rsidR="00AC67C0">
        <w:rPr>
          <w:noProof/>
        </w:rPr>
        <w:fldChar w:fldCharType="separate"/>
      </w:r>
      <w:r>
        <w:rPr>
          <w:noProof/>
        </w:rPr>
        <w:t>3</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Pr>
          <w:noProof/>
        </w:rPr>
        <w:t>2</w:t>
      </w:r>
      <w:r>
        <w:rPr>
          <w:rFonts w:asciiTheme="minorHAnsi" w:eastAsiaTheme="minorEastAsia" w:hAnsiTheme="minorHAnsi" w:cstheme="minorBidi"/>
          <w:noProof/>
          <w:sz w:val="22"/>
          <w:szCs w:val="22"/>
          <w:lang w:eastAsia="es-ES"/>
        </w:rPr>
        <w:tab/>
      </w:r>
      <w:r>
        <w:rPr>
          <w:noProof/>
        </w:rPr>
        <w:t>Los Centros Especiales de Empleo de Castilla y León, un instrumento eficiente para la integración</w:t>
      </w:r>
      <w:r>
        <w:rPr>
          <w:noProof/>
        </w:rPr>
        <w:tab/>
      </w:r>
      <w:r w:rsidR="00AC67C0">
        <w:rPr>
          <w:noProof/>
        </w:rPr>
        <w:fldChar w:fldCharType="begin"/>
      </w:r>
      <w:r>
        <w:rPr>
          <w:noProof/>
        </w:rPr>
        <w:instrText xml:space="preserve"> PAGEREF _Toc410916859 \h </w:instrText>
      </w:r>
      <w:r w:rsidR="00AC67C0">
        <w:rPr>
          <w:noProof/>
        </w:rPr>
      </w:r>
      <w:r w:rsidR="00AC67C0">
        <w:rPr>
          <w:noProof/>
        </w:rPr>
        <w:fldChar w:fldCharType="separate"/>
      </w:r>
      <w:r>
        <w:rPr>
          <w:noProof/>
        </w:rPr>
        <w:t>6</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Pr>
          <w:noProof/>
        </w:rPr>
        <w:t>2.1</w:t>
      </w:r>
      <w:r>
        <w:rPr>
          <w:rFonts w:asciiTheme="minorHAnsi" w:eastAsiaTheme="minorEastAsia" w:hAnsiTheme="minorHAnsi" w:cstheme="minorBidi"/>
          <w:noProof/>
          <w:sz w:val="22"/>
          <w:szCs w:val="22"/>
          <w:lang w:eastAsia="es-ES"/>
        </w:rPr>
        <w:tab/>
      </w:r>
      <w:r w:rsidRPr="000A1126">
        <w:rPr>
          <w:noProof/>
          <w:lang w:val="es-ES_tradnl"/>
        </w:rPr>
        <w:t>Impacto de los centros especiales de empleo de Castilla y León</w:t>
      </w:r>
      <w:r>
        <w:rPr>
          <w:noProof/>
        </w:rPr>
        <w:tab/>
      </w:r>
      <w:r w:rsidR="00AC67C0">
        <w:rPr>
          <w:noProof/>
        </w:rPr>
        <w:fldChar w:fldCharType="begin"/>
      </w:r>
      <w:r>
        <w:rPr>
          <w:noProof/>
        </w:rPr>
        <w:instrText xml:space="preserve"> PAGEREF _Toc410916860 \h </w:instrText>
      </w:r>
      <w:r w:rsidR="00AC67C0">
        <w:rPr>
          <w:noProof/>
        </w:rPr>
      </w:r>
      <w:r w:rsidR="00AC67C0">
        <w:rPr>
          <w:noProof/>
        </w:rPr>
        <w:fldChar w:fldCharType="separate"/>
      </w:r>
      <w:r>
        <w:rPr>
          <w:noProof/>
        </w:rPr>
        <w:t>6</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rFonts w:ascii="MinionPro-Regular" w:hAnsi="MinionPro-Regular"/>
          <w:noProof/>
          <w:lang w:val="es-ES_tradnl"/>
        </w:rPr>
        <w:t>2.2</w:t>
      </w:r>
      <w:r>
        <w:rPr>
          <w:rFonts w:asciiTheme="minorHAnsi" w:eastAsiaTheme="minorEastAsia" w:hAnsiTheme="minorHAnsi" w:cstheme="minorBidi"/>
          <w:noProof/>
          <w:sz w:val="22"/>
          <w:szCs w:val="22"/>
          <w:lang w:eastAsia="es-ES"/>
        </w:rPr>
        <w:tab/>
      </w:r>
      <w:r w:rsidRPr="000A1126">
        <w:rPr>
          <w:rFonts w:ascii="MinionPro-Regular" w:hAnsi="MinionPro-Regular"/>
          <w:noProof/>
          <w:lang w:val="es-ES_tradnl"/>
        </w:rPr>
        <w:t>Premisas y limitaciones en la estimación del impacto de los centros especiales de empleo</w:t>
      </w:r>
      <w:r>
        <w:rPr>
          <w:noProof/>
        </w:rPr>
        <w:tab/>
      </w:r>
      <w:r w:rsidR="00AC67C0">
        <w:rPr>
          <w:noProof/>
        </w:rPr>
        <w:fldChar w:fldCharType="begin"/>
      </w:r>
      <w:r>
        <w:rPr>
          <w:noProof/>
        </w:rPr>
        <w:instrText xml:space="preserve"> PAGEREF _Toc410916861 \h </w:instrText>
      </w:r>
      <w:r w:rsidR="00AC67C0">
        <w:rPr>
          <w:noProof/>
        </w:rPr>
      </w:r>
      <w:r w:rsidR="00AC67C0">
        <w:rPr>
          <w:noProof/>
        </w:rPr>
        <w:fldChar w:fldCharType="separate"/>
      </w:r>
      <w:r>
        <w:rPr>
          <w:noProof/>
        </w:rPr>
        <w:t>7</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Pr>
          <w:noProof/>
        </w:rPr>
        <w:t>2.3</w:t>
      </w:r>
      <w:r>
        <w:rPr>
          <w:rFonts w:asciiTheme="minorHAnsi" w:eastAsiaTheme="minorEastAsia" w:hAnsiTheme="minorHAnsi" w:cstheme="minorBidi"/>
          <w:noProof/>
          <w:sz w:val="22"/>
          <w:szCs w:val="22"/>
          <w:lang w:eastAsia="es-ES"/>
        </w:rPr>
        <w:tab/>
      </w:r>
      <w:r>
        <w:rPr>
          <w:noProof/>
        </w:rPr>
        <w:t>Estimación del retorno de los Centros Especiales de Empleo de Castilla y León</w:t>
      </w:r>
      <w:r>
        <w:rPr>
          <w:noProof/>
        </w:rPr>
        <w:tab/>
      </w:r>
      <w:r w:rsidR="00AC67C0">
        <w:rPr>
          <w:noProof/>
        </w:rPr>
        <w:fldChar w:fldCharType="begin"/>
      </w:r>
      <w:r>
        <w:rPr>
          <w:noProof/>
        </w:rPr>
        <w:instrText xml:space="preserve"> PAGEREF _Toc410916862 \h </w:instrText>
      </w:r>
      <w:r w:rsidR="00AC67C0">
        <w:rPr>
          <w:noProof/>
        </w:rPr>
      </w:r>
      <w:r w:rsidR="00AC67C0">
        <w:rPr>
          <w:noProof/>
        </w:rPr>
        <w:fldChar w:fldCharType="separate"/>
      </w:r>
      <w:r>
        <w:rPr>
          <w:noProof/>
        </w:rPr>
        <w:t>11</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rFonts w:ascii="MinionPro-Regular" w:hAnsi="MinionPro-Regular"/>
          <w:noProof/>
        </w:rPr>
        <w:t>2.4</w:t>
      </w:r>
      <w:r>
        <w:rPr>
          <w:rFonts w:asciiTheme="minorHAnsi" w:eastAsiaTheme="minorEastAsia" w:hAnsiTheme="minorHAnsi" w:cstheme="minorBidi"/>
          <w:noProof/>
          <w:sz w:val="22"/>
          <w:szCs w:val="22"/>
          <w:lang w:eastAsia="es-ES"/>
        </w:rPr>
        <w:tab/>
      </w:r>
      <w:r w:rsidRPr="000A1126">
        <w:rPr>
          <w:rFonts w:ascii="MinionPro-Regular" w:hAnsi="MinionPro-Regular"/>
          <w:noProof/>
        </w:rPr>
        <w:t>Otras consideraciones en el estudio de impacto</w:t>
      </w:r>
      <w:r>
        <w:rPr>
          <w:noProof/>
        </w:rPr>
        <w:tab/>
      </w:r>
      <w:r w:rsidR="00AC67C0">
        <w:rPr>
          <w:noProof/>
        </w:rPr>
        <w:fldChar w:fldCharType="begin"/>
      </w:r>
      <w:r>
        <w:rPr>
          <w:noProof/>
        </w:rPr>
        <w:instrText xml:space="preserve"> PAGEREF _Toc410916863 \h </w:instrText>
      </w:r>
      <w:r w:rsidR="00AC67C0">
        <w:rPr>
          <w:noProof/>
        </w:rPr>
      </w:r>
      <w:r w:rsidR="00AC67C0">
        <w:rPr>
          <w:noProof/>
        </w:rPr>
        <w:fldChar w:fldCharType="separate"/>
      </w:r>
      <w:r>
        <w:rPr>
          <w:noProof/>
        </w:rPr>
        <w:t>15</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Pr>
          <w:noProof/>
        </w:rPr>
        <w:t>2.4.1</w:t>
      </w:r>
      <w:r>
        <w:rPr>
          <w:rFonts w:asciiTheme="minorHAnsi" w:eastAsiaTheme="minorEastAsia" w:hAnsiTheme="minorHAnsi" w:cstheme="minorBidi"/>
          <w:noProof/>
          <w:sz w:val="22"/>
          <w:szCs w:val="22"/>
          <w:lang w:eastAsia="es-ES"/>
        </w:rPr>
        <w:tab/>
      </w:r>
      <w:r>
        <w:rPr>
          <w:noProof/>
        </w:rPr>
        <w:t>Prestaciones por desempleo</w:t>
      </w:r>
      <w:r>
        <w:rPr>
          <w:noProof/>
        </w:rPr>
        <w:tab/>
      </w:r>
      <w:r w:rsidR="00AC67C0">
        <w:rPr>
          <w:noProof/>
        </w:rPr>
        <w:fldChar w:fldCharType="begin"/>
      </w:r>
      <w:r>
        <w:rPr>
          <w:noProof/>
        </w:rPr>
        <w:instrText xml:space="preserve"> PAGEREF _Toc410916864 \h </w:instrText>
      </w:r>
      <w:r w:rsidR="00AC67C0">
        <w:rPr>
          <w:noProof/>
        </w:rPr>
      </w:r>
      <w:r w:rsidR="00AC67C0">
        <w:rPr>
          <w:noProof/>
        </w:rPr>
        <w:fldChar w:fldCharType="separate"/>
      </w:r>
      <w:r>
        <w:rPr>
          <w:noProof/>
        </w:rPr>
        <w:t>15</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Pr>
          <w:noProof/>
        </w:rPr>
        <w:t>2.4.2</w:t>
      </w:r>
      <w:r>
        <w:rPr>
          <w:rFonts w:asciiTheme="minorHAnsi" w:eastAsiaTheme="minorEastAsia" w:hAnsiTheme="minorHAnsi" w:cstheme="minorBidi"/>
          <w:noProof/>
          <w:sz w:val="22"/>
          <w:szCs w:val="22"/>
          <w:lang w:eastAsia="es-ES"/>
        </w:rPr>
        <w:tab/>
      </w:r>
      <w:r>
        <w:rPr>
          <w:noProof/>
        </w:rPr>
        <w:t>Los Centros Especiales de Empleo de Castilla y León dedican más de 76 millones al pago de salarios de sus trabajadores.</w:t>
      </w:r>
      <w:r>
        <w:rPr>
          <w:noProof/>
        </w:rPr>
        <w:tab/>
      </w:r>
      <w:r w:rsidR="00AC67C0">
        <w:rPr>
          <w:noProof/>
        </w:rPr>
        <w:fldChar w:fldCharType="begin"/>
      </w:r>
      <w:r>
        <w:rPr>
          <w:noProof/>
        </w:rPr>
        <w:instrText xml:space="preserve"> PAGEREF _Toc410916865 \h </w:instrText>
      </w:r>
      <w:r w:rsidR="00AC67C0">
        <w:rPr>
          <w:noProof/>
        </w:rPr>
      </w:r>
      <w:r w:rsidR="00AC67C0">
        <w:rPr>
          <w:noProof/>
        </w:rPr>
        <w:fldChar w:fldCharType="separate"/>
      </w:r>
      <w:r>
        <w:rPr>
          <w:noProof/>
        </w:rPr>
        <w:t>16</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3</w:t>
      </w:r>
      <w:r>
        <w:rPr>
          <w:rFonts w:asciiTheme="minorHAnsi" w:eastAsiaTheme="minorEastAsia" w:hAnsiTheme="minorHAnsi" w:cstheme="minorBidi"/>
          <w:noProof/>
          <w:sz w:val="22"/>
          <w:szCs w:val="22"/>
          <w:lang w:eastAsia="es-ES"/>
        </w:rPr>
        <w:tab/>
      </w:r>
      <w:r w:rsidRPr="000A1126">
        <w:rPr>
          <w:noProof/>
          <w:lang w:val="es-ES_tradnl"/>
        </w:rPr>
        <w:t>Los Centros Especiales de Empleo de Castilla y León, un caso de éxito</w:t>
      </w:r>
      <w:r>
        <w:rPr>
          <w:noProof/>
        </w:rPr>
        <w:tab/>
      </w:r>
      <w:r w:rsidR="00AC67C0">
        <w:rPr>
          <w:noProof/>
        </w:rPr>
        <w:fldChar w:fldCharType="begin"/>
      </w:r>
      <w:r>
        <w:rPr>
          <w:noProof/>
        </w:rPr>
        <w:instrText xml:space="preserve"> PAGEREF _Toc410916866 \h </w:instrText>
      </w:r>
      <w:r w:rsidR="00AC67C0">
        <w:rPr>
          <w:noProof/>
        </w:rPr>
      </w:r>
      <w:r w:rsidR="00AC67C0">
        <w:rPr>
          <w:noProof/>
        </w:rPr>
        <w:fldChar w:fldCharType="separate"/>
      </w:r>
      <w:r>
        <w:rPr>
          <w:noProof/>
        </w:rPr>
        <w:t>18</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3.1</w:t>
      </w:r>
      <w:r>
        <w:rPr>
          <w:rFonts w:asciiTheme="minorHAnsi" w:eastAsiaTheme="minorEastAsia" w:hAnsiTheme="minorHAnsi" w:cstheme="minorBidi"/>
          <w:noProof/>
          <w:sz w:val="22"/>
          <w:szCs w:val="22"/>
          <w:lang w:eastAsia="es-ES"/>
        </w:rPr>
        <w:tab/>
      </w:r>
      <w:r w:rsidRPr="000A1126">
        <w:rPr>
          <w:noProof/>
          <w:lang w:val="es-ES_tradnl"/>
        </w:rPr>
        <w:t>Comparativa entre los Centros Especiales de Empleo de Castilla y León y los de España en su conjunto</w:t>
      </w:r>
      <w:r>
        <w:rPr>
          <w:noProof/>
        </w:rPr>
        <w:tab/>
      </w:r>
      <w:r w:rsidR="00AC67C0">
        <w:rPr>
          <w:noProof/>
        </w:rPr>
        <w:fldChar w:fldCharType="begin"/>
      </w:r>
      <w:r>
        <w:rPr>
          <w:noProof/>
        </w:rPr>
        <w:instrText xml:space="preserve"> PAGEREF _Toc410916867 \h </w:instrText>
      </w:r>
      <w:r w:rsidR="00AC67C0">
        <w:rPr>
          <w:noProof/>
        </w:rPr>
      </w:r>
      <w:r w:rsidR="00AC67C0">
        <w:rPr>
          <w:noProof/>
        </w:rPr>
        <w:fldChar w:fldCharType="separate"/>
      </w:r>
      <w:r>
        <w:rPr>
          <w:noProof/>
        </w:rPr>
        <w:t>21</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4</w:t>
      </w:r>
      <w:r>
        <w:rPr>
          <w:rFonts w:asciiTheme="minorHAnsi" w:eastAsiaTheme="minorEastAsia" w:hAnsiTheme="minorHAnsi" w:cstheme="minorBidi"/>
          <w:noProof/>
          <w:sz w:val="22"/>
          <w:szCs w:val="22"/>
          <w:lang w:eastAsia="es-ES"/>
        </w:rPr>
        <w:tab/>
      </w:r>
      <w:r w:rsidRPr="000A1126">
        <w:rPr>
          <w:noProof/>
          <w:lang w:val="es-ES_tradnl"/>
        </w:rPr>
        <w:t>Modelo de análisis cuantitativo de los Centros Especiales de Empleo de Castilla y León</w:t>
      </w:r>
      <w:r>
        <w:rPr>
          <w:noProof/>
        </w:rPr>
        <w:tab/>
      </w:r>
      <w:r w:rsidR="00AC67C0">
        <w:rPr>
          <w:noProof/>
        </w:rPr>
        <w:fldChar w:fldCharType="begin"/>
      </w:r>
      <w:r>
        <w:rPr>
          <w:noProof/>
        </w:rPr>
        <w:instrText xml:space="preserve"> PAGEREF _Toc410916868 \h </w:instrText>
      </w:r>
      <w:r w:rsidR="00AC67C0">
        <w:rPr>
          <w:noProof/>
        </w:rPr>
      </w:r>
      <w:r w:rsidR="00AC67C0">
        <w:rPr>
          <w:noProof/>
        </w:rPr>
        <w:fldChar w:fldCharType="separate"/>
      </w:r>
      <w:r>
        <w:rPr>
          <w:noProof/>
        </w:rPr>
        <w:t>23</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5</w:t>
      </w:r>
      <w:r>
        <w:rPr>
          <w:rFonts w:asciiTheme="minorHAnsi" w:eastAsiaTheme="minorEastAsia" w:hAnsiTheme="minorHAnsi" w:cstheme="minorBidi"/>
          <w:noProof/>
          <w:sz w:val="22"/>
          <w:szCs w:val="22"/>
          <w:lang w:eastAsia="es-ES"/>
        </w:rPr>
        <w:tab/>
      </w:r>
      <w:r w:rsidRPr="000A1126">
        <w:rPr>
          <w:noProof/>
          <w:lang w:val="es-ES_tradnl"/>
        </w:rPr>
        <w:t>Resultados del análisis</w:t>
      </w:r>
      <w:r>
        <w:rPr>
          <w:noProof/>
        </w:rPr>
        <w:tab/>
      </w:r>
      <w:r w:rsidR="00AC67C0">
        <w:rPr>
          <w:noProof/>
        </w:rPr>
        <w:fldChar w:fldCharType="begin"/>
      </w:r>
      <w:r>
        <w:rPr>
          <w:noProof/>
        </w:rPr>
        <w:instrText xml:space="preserve"> PAGEREF _Toc410916869 \h </w:instrText>
      </w:r>
      <w:r w:rsidR="00AC67C0">
        <w:rPr>
          <w:noProof/>
        </w:rPr>
      </w:r>
      <w:r w:rsidR="00AC67C0">
        <w:rPr>
          <w:noProof/>
        </w:rPr>
        <w:fldChar w:fldCharType="separate"/>
      </w:r>
      <w:r>
        <w:rPr>
          <w:noProof/>
        </w:rPr>
        <w:t>26</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5.1</w:t>
      </w:r>
      <w:r>
        <w:rPr>
          <w:rFonts w:asciiTheme="minorHAnsi" w:eastAsiaTheme="minorEastAsia" w:hAnsiTheme="minorHAnsi" w:cstheme="minorBidi"/>
          <w:noProof/>
          <w:sz w:val="22"/>
          <w:szCs w:val="22"/>
          <w:lang w:eastAsia="es-ES"/>
        </w:rPr>
        <w:tab/>
      </w:r>
      <w:r w:rsidRPr="000A1126">
        <w:rPr>
          <w:noProof/>
          <w:lang w:val="es-ES_tradnl"/>
        </w:rPr>
        <w:t>Centros robustos y con un significativo impacto social</w:t>
      </w:r>
      <w:r>
        <w:rPr>
          <w:noProof/>
        </w:rPr>
        <w:tab/>
      </w:r>
      <w:r w:rsidR="00AC67C0">
        <w:rPr>
          <w:noProof/>
        </w:rPr>
        <w:fldChar w:fldCharType="begin"/>
      </w:r>
      <w:r>
        <w:rPr>
          <w:noProof/>
        </w:rPr>
        <w:instrText xml:space="preserve"> PAGEREF _Toc410916870 \h </w:instrText>
      </w:r>
      <w:r w:rsidR="00AC67C0">
        <w:rPr>
          <w:noProof/>
        </w:rPr>
      </w:r>
      <w:r w:rsidR="00AC67C0">
        <w:rPr>
          <w:noProof/>
        </w:rPr>
        <w:fldChar w:fldCharType="separate"/>
      </w:r>
      <w:r>
        <w:rPr>
          <w:noProof/>
        </w:rPr>
        <w:t>28</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5.2</w:t>
      </w:r>
      <w:r>
        <w:rPr>
          <w:rFonts w:asciiTheme="minorHAnsi" w:eastAsiaTheme="minorEastAsia" w:hAnsiTheme="minorHAnsi" w:cstheme="minorBidi"/>
          <w:noProof/>
          <w:sz w:val="22"/>
          <w:szCs w:val="22"/>
          <w:lang w:eastAsia="es-ES"/>
        </w:rPr>
        <w:tab/>
      </w:r>
      <w:r w:rsidRPr="000A1126">
        <w:rPr>
          <w:noProof/>
          <w:lang w:val="es-ES_tradnl"/>
        </w:rPr>
        <w:t>Clústers de Centros Especiales de Empleo en función de su evaluación económica y social</w:t>
      </w:r>
      <w:r>
        <w:rPr>
          <w:noProof/>
        </w:rPr>
        <w:tab/>
      </w:r>
      <w:r w:rsidR="00AC67C0">
        <w:rPr>
          <w:noProof/>
        </w:rPr>
        <w:fldChar w:fldCharType="begin"/>
      </w:r>
      <w:r>
        <w:rPr>
          <w:noProof/>
        </w:rPr>
        <w:instrText xml:space="preserve"> PAGEREF _Toc410916871 \h </w:instrText>
      </w:r>
      <w:r w:rsidR="00AC67C0">
        <w:rPr>
          <w:noProof/>
        </w:rPr>
      </w:r>
      <w:r w:rsidR="00AC67C0">
        <w:rPr>
          <w:noProof/>
        </w:rPr>
        <w:fldChar w:fldCharType="separate"/>
      </w:r>
      <w:r>
        <w:rPr>
          <w:noProof/>
        </w:rPr>
        <w:t>31</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5.3</w:t>
      </w:r>
      <w:r>
        <w:rPr>
          <w:rFonts w:asciiTheme="minorHAnsi" w:eastAsiaTheme="minorEastAsia" w:hAnsiTheme="minorHAnsi" w:cstheme="minorBidi"/>
          <w:noProof/>
          <w:sz w:val="22"/>
          <w:szCs w:val="22"/>
          <w:lang w:eastAsia="es-ES"/>
        </w:rPr>
        <w:tab/>
      </w:r>
      <w:r w:rsidRPr="000A1126">
        <w:rPr>
          <w:noProof/>
          <w:lang w:val="es-ES_tradnl"/>
        </w:rPr>
        <w:t>Evaluación financiera</w:t>
      </w:r>
      <w:r>
        <w:rPr>
          <w:noProof/>
        </w:rPr>
        <w:tab/>
      </w:r>
      <w:r w:rsidR="00AC67C0">
        <w:rPr>
          <w:noProof/>
        </w:rPr>
        <w:fldChar w:fldCharType="begin"/>
      </w:r>
      <w:r>
        <w:rPr>
          <w:noProof/>
        </w:rPr>
        <w:instrText xml:space="preserve"> PAGEREF _Toc410916872 \h </w:instrText>
      </w:r>
      <w:r w:rsidR="00AC67C0">
        <w:rPr>
          <w:noProof/>
        </w:rPr>
      </w:r>
      <w:r w:rsidR="00AC67C0">
        <w:rPr>
          <w:noProof/>
        </w:rPr>
        <w:fldChar w:fldCharType="separate"/>
      </w:r>
      <w:r>
        <w:rPr>
          <w:noProof/>
        </w:rPr>
        <w:t>34</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5.3.1</w:t>
      </w:r>
      <w:r>
        <w:rPr>
          <w:rFonts w:asciiTheme="minorHAnsi" w:eastAsiaTheme="minorEastAsia" w:hAnsiTheme="minorHAnsi" w:cstheme="minorBidi"/>
          <w:noProof/>
          <w:sz w:val="22"/>
          <w:szCs w:val="22"/>
          <w:lang w:eastAsia="es-ES"/>
        </w:rPr>
        <w:tab/>
      </w:r>
      <w:r w:rsidRPr="000A1126">
        <w:rPr>
          <w:noProof/>
          <w:lang w:val="es-ES_tradnl"/>
        </w:rPr>
        <w:t>Análisis de indicadores financieros</w:t>
      </w:r>
      <w:r>
        <w:rPr>
          <w:noProof/>
        </w:rPr>
        <w:tab/>
      </w:r>
      <w:r w:rsidR="00AC67C0">
        <w:rPr>
          <w:noProof/>
        </w:rPr>
        <w:fldChar w:fldCharType="begin"/>
      </w:r>
      <w:r>
        <w:rPr>
          <w:noProof/>
        </w:rPr>
        <w:instrText xml:space="preserve"> PAGEREF _Toc410916873 \h </w:instrText>
      </w:r>
      <w:r w:rsidR="00AC67C0">
        <w:rPr>
          <w:noProof/>
        </w:rPr>
      </w:r>
      <w:r w:rsidR="00AC67C0">
        <w:rPr>
          <w:noProof/>
        </w:rPr>
        <w:fldChar w:fldCharType="separate"/>
      </w:r>
      <w:r>
        <w:rPr>
          <w:noProof/>
        </w:rPr>
        <w:t>37</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5.4</w:t>
      </w:r>
      <w:r>
        <w:rPr>
          <w:rFonts w:asciiTheme="minorHAnsi" w:eastAsiaTheme="minorEastAsia" w:hAnsiTheme="minorHAnsi" w:cstheme="minorBidi"/>
          <w:noProof/>
          <w:sz w:val="22"/>
          <w:szCs w:val="22"/>
          <w:lang w:eastAsia="es-ES"/>
        </w:rPr>
        <w:tab/>
      </w:r>
      <w:r w:rsidRPr="000A1126">
        <w:rPr>
          <w:noProof/>
          <w:lang w:val="es-ES_tradnl"/>
        </w:rPr>
        <w:t>Evaluación Competitiva</w:t>
      </w:r>
      <w:r>
        <w:rPr>
          <w:noProof/>
        </w:rPr>
        <w:tab/>
      </w:r>
      <w:r w:rsidR="00AC67C0">
        <w:rPr>
          <w:noProof/>
        </w:rPr>
        <w:fldChar w:fldCharType="begin"/>
      </w:r>
      <w:r>
        <w:rPr>
          <w:noProof/>
        </w:rPr>
        <w:instrText xml:space="preserve"> PAGEREF _Toc410916874 \h </w:instrText>
      </w:r>
      <w:r w:rsidR="00AC67C0">
        <w:rPr>
          <w:noProof/>
        </w:rPr>
      </w:r>
      <w:r w:rsidR="00AC67C0">
        <w:rPr>
          <w:noProof/>
        </w:rPr>
        <w:fldChar w:fldCharType="separate"/>
      </w:r>
      <w:r>
        <w:rPr>
          <w:noProof/>
        </w:rPr>
        <w:t>41</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5.4.1</w:t>
      </w:r>
      <w:r>
        <w:rPr>
          <w:rFonts w:asciiTheme="minorHAnsi" w:eastAsiaTheme="minorEastAsia" w:hAnsiTheme="minorHAnsi" w:cstheme="minorBidi"/>
          <w:noProof/>
          <w:sz w:val="22"/>
          <w:szCs w:val="22"/>
          <w:lang w:eastAsia="es-ES"/>
        </w:rPr>
        <w:tab/>
      </w:r>
      <w:r w:rsidRPr="000A1126">
        <w:rPr>
          <w:noProof/>
          <w:lang w:val="es-ES_tradnl"/>
        </w:rPr>
        <w:t>Análisis de indicadores de posición competitiva</w:t>
      </w:r>
      <w:r>
        <w:rPr>
          <w:noProof/>
        </w:rPr>
        <w:tab/>
      </w:r>
      <w:r w:rsidR="00AC67C0">
        <w:rPr>
          <w:noProof/>
        </w:rPr>
        <w:fldChar w:fldCharType="begin"/>
      </w:r>
      <w:r>
        <w:rPr>
          <w:noProof/>
        </w:rPr>
        <w:instrText xml:space="preserve"> PAGEREF _Toc410916875 \h </w:instrText>
      </w:r>
      <w:r w:rsidR="00AC67C0">
        <w:rPr>
          <w:noProof/>
        </w:rPr>
      </w:r>
      <w:r w:rsidR="00AC67C0">
        <w:rPr>
          <w:noProof/>
        </w:rPr>
        <w:fldChar w:fldCharType="separate"/>
      </w:r>
      <w:r>
        <w:rPr>
          <w:noProof/>
        </w:rPr>
        <w:t>43</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5.5</w:t>
      </w:r>
      <w:r>
        <w:rPr>
          <w:rFonts w:asciiTheme="minorHAnsi" w:eastAsiaTheme="minorEastAsia" w:hAnsiTheme="minorHAnsi" w:cstheme="minorBidi"/>
          <w:noProof/>
          <w:sz w:val="22"/>
          <w:szCs w:val="22"/>
          <w:lang w:eastAsia="es-ES"/>
        </w:rPr>
        <w:tab/>
      </w:r>
      <w:r w:rsidRPr="000A1126">
        <w:rPr>
          <w:noProof/>
          <w:lang w:val="es-ES_tradnl"/>
        </w:rPr>
        <w:t>Evaluación de Impacto Social</w:t>
      </w:r>
      <w:r>
        <w:rPr>
          <w:noProof/>
        </w:rPr>
        <w:tab/>
      </w:r>
      <w:r w:rsidR="00AC67C0">
        <w:rPr>
          <w:noProof/>
        </w:rPr>
        <w:fldChar w:fldCharType="begin"/>
      </w:r>
      <w:r>
        <w:rPr>
          <w:noProof/>
        </w:rPr>
        <w:instrText xml:space="preserve"> PAGEREF _Toc410916876 \h </w:instrText>
      </w:r>
      <w:r w:rsidR="00AC67C0">
        <w:rPr>
          <w:noProof/>
        </w:rPr>
      </w:r>
      <w:r w:rsidR="00AC67C0">
        <w:rPr>
          <w:noProof/>
        </w:rPr>
        <w:fldChar w:fldCharType="separate"/>
      </w:r>
      <w:r>
        <w:rPr>
          <w:noProof/>
        </w:rPr>
        <w:t>46</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5.5.1</w:t>
      </w:r>
      <w:r>
        <w:rPr>
          <w:rFonts w:asciiTheme="minorHAnsi" w:eastAsiaTheme="minorEastAsia" w:hAnsiTheme="minorHAnsi" w:cstheme="minorBidi"/>
          <w:noProof/>
          <w:sz w:val="22"/>
          <w:szCs w:val="22"/>
          <w:lang w:eastAsia="es-ES"/>
        </w:rPr>
        <w:tab/>
      </w:r>
      <w:r w:rsidRPr="000A1126">
        <w:rPr>
          <w:noProof/>
          <w:lang w:val="es-ES_tradnl"/>
        </w:rPr>
        <w:t>Análisis de indicadores de impacto social</w:t>
      </w:r>
      <w:r>
        <w:rPr>
          <w:noProof/>
        </w:rPr>
        <w:tab/>
      </w:r>
      <w:r w:rsidR="00AC67C0">
        <w:rPr>
          <w:noProof/>
        </w:rPr>
        <w:fldChar w:fldCharType="begin"/>
      </w:r>
      <w:r>
        <w:rPr>
          <w:noProof/>
        </w:rPr>
        <w:instrText xml:space="preserve"> PAGEREF _Toc410916877 \h </w:instrText>
      </w:r>
      <w:r w:rsidR="00AC67C0">
        <w:rPr>
          <w:noProof/>
        </w:rPr>
      </w:r>
      <w:r w:rsidR="00AC67C0">
        <w:rPr>
          <w:noProof/>
        </w:rPr>
        <w:fldChar w:fldCharType="separate"/>
      </w:r>
      <w:r>
        <w:rPr>
          <w:noProof/>
        </w:rPr>
        <w:t>48</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5.5.2</w:t>
      </w:r>
      <w:r>
        <w:rPr>
          <w:rFonts w:asciiTheme="minorHAnsi" w:eastAsiaTheme="minorEastAsia" w:hAnsiTheme="minorHAnsi" w:cstheme="minorBidi"/>
          <w:noProof/>
          <w:sz w:val="22"/>
          <w:szCs w:val="22"/>
          <w:lang w:eastAsia="es-ES"/>
        </w:rPr>
        <w:tab/>
      </w:r>
      <w:r w:rsidRPr="000A1126">
        <w:rPr>
          <w:noProof/>
          <w:lang w:val="es-ES_tradnl"/>
        </w:rPr>
        <w:t>Equidad Salarial</w:t>
      </w:r>
      <w:r>
        <w:rPr>
          <w:noProof/>
        </w:rPr>
        <w:tab/>
      </w:r>
      <w:r w:rsidR="00AC67C0">
        <w:rPr>
          <w:noProof/>
        </w:rPr>
        <w:fldChar w:fldCharType="begin"/>
      </w:r>
      <w:r>
        <w:rPr>
          <w:noProof/>
        </w:rPr>
        <w:instrText xml:space="preserve"> PAGEREF _Toc410916878 \h </w:instrText>
      </w:r>
      <w:r w:rsidR="00AC67C0">
        <w:rPr>
          <w:noProof/>
        </w:rPr>
      </w:r>
      <w:r w:rsidR="00AC67C0">
        <w:rPr>
          <w:noProof/>
        </w:rPr>
        <w:fldChar w:fldCharType="separate"/>
      </w:r>
      <w:r>
        <w:rPr>
          <w:noProof/>
        </w:rPr>
        <w:t>52</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5.5.3</w:t>
      </w:r>
      <w:r>
        <w:rPr>
          <w:rFonts w:asciiTheme="minorHAnsi" w:eastAsiaTheme="minorEastAsia" w:hAnsiTheme="minorHAnsi" w:cstheme="minorBidi"/>
          <w:noProof/>
          <w:sz w:val="22"/>
          <w:szCs w:val="22"/>
          <w:lang w:eastAsia="es-ES"/>
        </w:rPr>
        <w:tab/>
      </w:r>
      <w:r w:rsidRPr="000A1126">
        <w:rPr>
          <w:noProof/>
          <w:lang w:val="es-ES_tradnl"/>
        </w:rPr>
        <w:t>Empleo de las personas con discapacidad</w:t>
      </w:r>
      <w:r>
        <w:rPr>
          <w:noProof/>
        </w:rPr>
        <w:tab/>
      </w:r>
      <w:r w:rsidR="00AC67C0">
        <w:rPr>
          <w:noProof/>
        </w:rPr>
        <w:fldChar w:fldCharType="begin"/>
      </w:r>
      <w:r>
        <w:rPr>
          <w:noProof/>
        </w:rPr>
        <w:instrText xml:space="preserve"> PAGEREF _Toc410916879 \h </w:instrText>
      </w:r>
      <w:r w:rsidR="00AC67C0">
        <w:rPr>
          <w:noProof/>
        </w:rPr>
      </w:r>
      <w:r w:rsidR="00AC67C0">
        <w:rPr>
          <w:noProof/>
        </w:rPr>
        <w:fldChar w:fldCharType="separate"/>
      </w:r>
      <w:r>
        <w:rPr>
          <w:noProof/>
        </w:rPr>
        <w:t>57</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5.5.4</w:t>
      </w:r>
      <w:r>
        <w:rPr>
          <w:rFonts w:asciiTheme="minorHAnsi" w:eastAsiaTheme="minorEastAsia" w:hAnsiTheme="minorHAnsi" w:cstheme="minorBidi"/>
          <w:noProof/>
          <w:sz w:val="22"/>
          <w:szCs w:val="22"/>
          <w:lang w:eastAsia="es-ES"/>
        </w:rPr>
        <w:tab/>
      </w:r>
      <w:r w:rsidRPr="000A1126">
        <w:rPr>
          <w:noProof/>
          <w:lang w:val="es-ES_tradnl"/>
        </w:rPr>
        <w:t>Empleo de las personas con especiales dificultades*</w:t>
      </w:r>
      <w:r>
        <w:rPr>
          <w:noProof/>
        </w:rPr>
        <w:tab/>
      </w:r>
      <w:r w:rsidR="00AC67C0">
        <w:rPr>
          <w:noProof/>
        </w:rPr>
        <w:fldChar w:fldCharType="begin"/>
      </w:r>
      <w:r>
        <w:rPr>
          <w:noProof/>
        </w:rPr>
        <w:instrText xml:space="preserve"> PAGEREF _Toc410916880 \h </w:instrText>
      </w:r>
      <w:r w:rsidR="00AC67C0">
        <w:rPr>
          <w:noProof/>
        </w:rPr>
      </w:r>
      <w:r w:rsidR="00AC67C0">
        <w:rPr>
          <w:noProof/>
        </w:rPr>
        <w:fldChar w:fldCharType="separate"/>
      </w:r>
      <w:r>
        <w:rPr>
          <w:noProof/>
        </w:rPr>
        <w:t>63</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Pr>
          <w:noProof/>
        </w:rPr>
        <w:t>5.5.5</w:t>
      </w:r>
      <w:r>
        <w:rPr>
          <w:rFonts w:asciiTheme="minorHAnsi" w:eastAsiaTheme="minorEastAsia" w:hAnsiTheme="minorHAnsi" w:cstheme="minorBidi"/>
          <w:noProof/>
          <w:sz w:val="22"/>
          <w:szCs w:val="22"/>
          <w:lang w:eastAsia="es-ES"/>
        </w:rPr>
        <w:tab/>
      </w:r>
      <w:r w:rsidRPr="000A1126">
        <w:rPr>
          <w:noProof/>
          <w:lang w:val="es-ES_tradnl"/>
        </w:rPr>
        <w:t>Estabilidad en el empleo de las personas con discapacidad</w:t>
      </w:r>
      <w:r>
        <w:rPr>
          <w:noProof/>
        </w:rPr>
        <w:tab/>
      </w:r>
      <w:r w:rsidR="00AC67C0">
        <w:rPr>
          <w:noProof/>
        </w:rPr>
        <w:fldChar w:fldCharType="begin"/>
      </w:r>
      <w:r>
        <w:rPr>
          <w:noProof/>
        </w:rPr>
        <w:instrText xml:space="preserve"> PAGEREF _Toc410916881 \h </w:instrText>
      </w:r>
      <w:r w:rsidR="00AC67C0">
        <w:rPr>
          <w:noProof/>
        </w:rPr>
      </w:r>
      <w:r w:rsidR="00AC67C0">
        <w:rPr>
          <w:noProof/>
        </w:rPr>
        <w:fldChar w:fldCharType="separate"/>
      </w:r>
      <w:r>
        <w:rPr>
          <w:noProof/>
        </w:rPr>
        <w:t>67</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5.5.6</w:t>
      </w:r>
      <w:r>
        <w:rPr>
          <w:rFonts w:asciiTheme="minorHAnsi" w:eastAsiaTheme="minorEastAsia" w:hAnsiTheme="minorHAnsi" w:cstheme="minorBidi"/>
          <w:noProof/>
          <w:sz w:val="22"/>
          <w:szCs w:val="22"/>
          <w:lang w:eastAsia="es-ES"/>
        </w:rPr>
        <w:tab/>
      </w:r>
      <w:r w:rsidRPr="000A1126">
        <w:rPr>
          <w:noProof/>
          <w:lang w:val="es-ES_tradnl"/>
        </w:rPr>
        <w:t>Dinamización de los entornos rurales</w:t>
      </w:r>
      <w:r>
        <w:rPr>
          <w:noProof/>
        </w:rPr>
        <w:tab/>
      </w:r>
      <w:r w:rsidR="00AC67C0">
        <w:rPr>
          <w:noProof/>
        </w:rPr>
        <w:fldChar w:fldCharType="begin"/>
      </w:r>
      <w:r>
        <w:rPr>
          <w:noProof/>
        </w:rPr>
        <w:instrText xml:space="preserve"> PAGEREF _Toc410916882 \h </w:instrText>
      </w:r>
      <w:r w:rsidR="00AC67C0">
        <w:rPr>
          <w:noProof/>
        </w:rPr>
      </w:r>
      <w:r w:rsidR="00AC67C0">
        <w:rPr>
          <w:noProof/>
        </w:rPr>
        <w:fldChar w:fldCharType="separate"/>
      </w:r>
      <w:r>
        <w:rPr>
          <w:noProof/>
        </w:rPr>
        <w:t>67</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5.5.7</w:t>
      </w:r>
      <w:r>
        <w:rPr>
          <w:rFonts w:asciiTheme="minorHAnsi" w:eastAsiaTheme="minorEastAsia" w:hAnsiTheme="minorHAnsi" w:cstheme="minorBidi"/>
          <w:noProof/>
          <w:sz w:val="22"/>
          <w:szCs w:val="22"/>
          <w:lang w:eastAsia="es-ES"/>
        </w:rPr>
        <w:tab/>
      </w:r>
      <w:r w:rsidRPr="000A1126">
        <w:rPr>
          <w:noProof/>
          <w:lang w:val="es-ES_tradnl"/>
        </w:rPr>
        <w:t>Evolución del empleo de personas con discapacidad durante el periodo 2011-2013</w:t>
      </w:r>
      <w:r>
        <w:rPr>
          <w:noProof/>
        </w:rPr>
        <w:tab/>
      </w:r>
      <w:r w:rsidR="00AC67C0">
        <w:rPr>
          <w:noProof/>
        </w:rPr>
        <w:fldChar w:fldCharType="begin"/>
      </w:r>
      <w:r>
        <w:rPr>
          <w:noProof/>
        </w:rPr>
        <w:instrText xml:space="preserve"> PAGEREF _Toc410916883 \h </w:instrText>
      </w:r>
      <w:r w:rsidR="00AC67C0">
        <w:rPr>
          <w:noProof/>
        </w:rPr>
      </w:r>
      <w:r w:rsidR="00AC67C0">
        <w:rPr>
          <w:noProof/>
        </w:rPr>
        <w:fldChar w:fldCharType="separate"/>
      </w:r>
      <w:r>
        <w:rPr>
          <w:noProof/>
        </w:rPr>
        <w:t>70</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lastRenderedPageBreak/>
        <w:t>5.5.8</w:t>
      </w:r>
      <w:r>
        <w:rPr>
          <w:rFonts w:asciiTheme="minorHAnsi" w:eastAsiaTheme="minorEastAsia" w:hAnsiTheme="minorHAnsi" w:cstheme="minorBidi"/>
          <w:noProof/>
          <w:sz w:val="22"/>
          <w:szCs w:val="22"/>
          <w:lang w:eastAsia="es-ES"/>
        </w:rPr>
        <w:tab/>
      </w:r>
      <w:r w:rsidRPr="000A1126">
        <w:rPr>
          <w:noProof/>
          <w:lang w:val="es-ES_tradnl"/>
        </w:rPr>
        <w:t>El impacto social no cuantificable de los Centros Especiales de Empleo</w:t>
      </w:r>
      <w:r>
        <w:rPr>
          <w:noProof/>
        </w:rPr>
        <w:tab/>
      </w:r>
      <w:r w:rsidR="00AC67C0">
        <w:rPr>
          <w:noProof/>
        </w:rPr>
        <w:fldChar w:fldCharType="begin"/>
      </w:r>
      <w:r>
        <w:rPr>
          <w:noProof/>
        </w:rPr>
        <w:instrText xml:space="preserve"> PAGEREF _Toc410916884 \h </w:instrText>
      </w:r>
      <w:r w:rsidR="00AC67C0">
        <w:rPr>
          <w:noProof/>
        </w:rPr>
      </w:r>
      <w:r w:rsidR="00AC67C0">
        <w:rPr>
          <w:noProof/>
        </w:rPr>
        <w:fldChar w:fldCharType="separate"/>
      </w:r>
      <w:r>
        <w:rPr>
          <w:noProof/>
        </w:rPr>
        <w:t>71</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rPr>
        <w:t>5.6</w:t>
      </w:r>
      <w:r>
        <w:rPr>
          <w:rFonts w:asciiTheme="minorHAnsi" w:eastAsiaTheme="minorEastAsia" w:hAnsiTheme="minorHAnsi" w:cstheme="minorBidi"/>
          <w:noProof/>
          <w:sz w:val="22"/>
          <w:szCs w:val="22"/>
          <w:lang w:eastAsia="es-ES"/>
        </w:rPr>
        <w:tab/>
      </w:r>
      <w:r>
        <w:rPr>
          <w:noProof/>
        </w:rPr>
        <w:t>¿En qué sectores actúan los Centros Especiales de Empleo?</w:t>
      </w:r>
      <w:r>
        <w:rPr>
          <w:noProof/>
        </w:rPr>
        <w:tab/>
      </w:r>
      <w:r w:rsidR="00AC67C0">
        <w:rPr>
          <w:noProof/>
        </w:rPr>
        <w:fldChar w:fldCharType="begin"/>
      </w:r>
      <w:r>
        <w:rPr>
          <w:noProof/>
        </w:rPr>
        <w:instrText xml:space="preserve"> PAGEREF _Toc410916885 \h </w:instrText>
      </w:r>
      <w:r w:rsidR="00AC67C0">
        <w:rPr>
          <w:noProof/>
        </w:rPr>
      </w:r>
      <w:r w:rsidR="00AC67C0">
        <w:rPr>
          <w:noProof/>
        </w:rPr>
        <w:fldChar w:fldCharType="separate"/>
      </w:r>
      <w:r>
        <w:rPr>
          <w:noProof/>
        </w:rPr>
        <w:t>78</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5.6.1</w:t>
      </w:r>
      <w:r>
        <w:rPr>
          <w:rFonts w:asciiTheme="minorHAnsi" w:eastAsiaTheme="minorEastAsia" w:hAnsiTheme="minorHAnsi" w:cstheme="minorBidi"/>
          <w:noProof/>
          <w:sz w:val="22"/>
          <w:szCs w:val="22"/>
          <w:lang w:eastAsia="es-ES"/>
        </w:rPr>
        <w:tab/>
      </w:r>
      <w:r w:rsidRPr="000A1126">
        <w:rPr>
          <w:noProof/>
          <w:lang w:val="es-ES_tradnl"/>
        </w:rPr>
        <w:t>Evaluación por sector</w:t>
      </w:r>
      <w:r>
        <w:rPr>
          <w:noProof/>
        </w:rPr>
        <w:tab/>
      </w:r>
      <w:r w:rsidR="00AC67C0">
        <w:rPr>
          <w:noProof/>
        </w:rPr>
        <w:fldChar w:fldCharType="begin"/>
      </w:r>
      <w:r>
        <w:rPr>
          <w:noProof/>
        </w:rPr>
        <w:instrText xml:space="preserve"> PAGEREF _Toc410916886 \h </w:instrText>
      </w:r>
      <w:r w:rsidR="00AC67C0">
        <w:rPr>
          <w:noProof/>
        </w:rPr>
      </w:r>
      <w:r w:rsidR="00AC67C0">
        <w:rPr>
          <w:noProof/>
        </w:rPr>
        <w:fldChar w:fldCharType="separate"/>
      </w:r>
      <w:r>
        <w:rPr>
          <w:noProof/>
        </w:rPr>
        <w:t>80</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5.6.2</w:t>
      </w:r>
      <w:r>
        <w:rPr>
          <w:rFonts w:asciiTheme="minorHAnsi" w:eastAsiaTheme="minorEastAsia" w:hAnsiTheme="minorHAnsi" w:cstheme="minorBidi"/>
          <w:noProof/>
          <w:sz w:val="22"/>
          <w:szCs w:val="22"/>
          <w:lang w:eastAsia="es-ES"/>
        </w:rPr>
        <w:tab/>
      </w:r>
      <w:r w:rsidRPr="000A1126">
        <w:rPr>
          <w:noProof/>
          <w:lang w:val="es-ES_tradnl"/>
        </w:rPr>
        <w:t>Equidad salarial por sectores</w:t>
      </w:r>
      <w:r>
        <w:rPr>
          <w:noProof/>
        </w:rPr>
        <w:tab/>
      </w:r>
      <w:r w:rsidR="00AC67C0">
        <w:rPr>
          <w:noProof/>
        </w:rPr>
        <w:fldChar w:fldCharType="begin"/>
      </w:r>
      <w:r>
        <w:rPr>
          <w:noProof/>
        </w:rPr>
        <w:instrText xml:space="preserve"> PAGEREF _Toc410916887 \h </w:instrText>
      </w:r>
      <w:r w:rsidR="00AC67C0">
        <w:rPr>
          <w:noProof/>
        </w:rPr>
      </w:r>
      <w:r w:rsidR="00AC67C0">
        <w:rPr>
          <w:noProof/>
        </w:rPr>
        <w:fldChar w:fldCharType="separate"/>
      </w:r>
      <w:r>
        <w:rPr>
          <w:noProof/>
        </w:rPr>
        <w:t>84</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5.6.3</w:t>
      </w:r>
      <w:r>
        <w:rPr>
          <w:rFonts w:asciiTheme="minorHAnsi" w:eastAsiaTheme="minorEastAsia" w:hAnsiTheme="minorHAnsi" w:cstheme="minorBidi"/>
          <w:noProof/>
          <w:sz w:val="22"/>
          <w:szCs w:val="22"/>
          <w:lang w:eastAsia="es-ES"/>
        </w:rPr>
        <w:tab/>
      </w:r>
      <w:r w:rsidRPr="000A1126">
        <w:rPr>
          <w:noProof/>
          <w:lang w:val="es-ES_tradnl"/>
        </w:rPr>
        <w:t>Empleo de las personas con discapacidad por sector</w:t>
      </w:r>
      <w:r>
        <w:rPr>
          <w:noProof/>
        </w:rPr>
        <w:tab/>
      </w:r>
      <w:r w:rsidR="00AC67C0">
        <w:rPr>
          <w:noProof/>
        </w:rPr>
        <w:fldChar w:fldCharType="begin"/>
      </w:r>
      <w:r>
        <w:rPr>
          <w:noProof/>
        </w:rPr>
        <w:instrText xml:space="preserve"> PAGEREF _Toc410916888 \h </w:instrText>
      </w:r>
      <w:r w:rsidR="00AC67C0">
        <w:rPr>
          <w:noProof/>
        </w:rPr>
      </w:r>
      <w:r w:rsidR="00AC67C0">
        <w:rPr>
          <w:noProof/>
        </w:rPr>
        <w:fldChar w:fldCharType="separate"/>
      </w:r>
      <w:r>
        <w:rPr>
          <w:noProof/>
        </w:rPr>
        <w:t>86</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5.6.4</w:t>
      </w:r>
      <w:r>
        <w:rPr>
          <w:rFonts w:asciiTheme="minorHAnsi" w:eastAsiaTheme="minorEastAsia" w:hAnsiTheme="minorHAnsi" w:cstheme="minorBidi"/>
          <w:noProof/>
          <w:sz w:val="22"/>
          <w:szCs w:val="22"/>
          <w:lang w:eastAsia="es-ES"/>
        </w:rPr>
        <w:tab/>
      </w:r>
      <w:r w:rsidRPr="000A1126">
        <w:rPr>
          <w:noProof/>
          <w:lang w:val="es-ES_tradnl"/>
        </w:rPr>
        <w:t>Oportunidades para personas con discapacidad con especiales dificultades por sector</w:t>
      </w:r>
      <w:r>
        <w:rPr>
          <w:noProof/>
        </w:rPr>
        <w:tab/>
      </w:r>
      <w:r w:rsidR="00AC67C0">
        <w:rPr>
          <w:noProof/>
        </w:rPr>
        <w:fldChar w:fldCharType="begin"/>
      </w:r>
      <w:r>
        <w:rPr>
          <w:noProof/>
        </w:rPr>
        <w:instrText xml:space="preserve"> PAGEREF _Toc410916889 \h </w:instrText>
      </w:r>
      <w:r w:rsidR="00AC67C0">
        <w:rPr>
          <w:noProof/>
        </w:rPr>
      </w:r>
      <w:r w:rsidR="00AC67C0">
        <w:rPr>
          <w:noProof/>
        </w:rPr>
        <w:fldChar w:fldCharType="separate"/>
      </w:r>
      <w:r>
        <w:rPr>
          <w:noProof/>
        </w:rPr>
        <w:t>88</w:t>
      </w:r>
      <w:r w:rsidR="00AC67C0">
        <w:rPr>
          <w:noProof/>
        </w:rPr>
        <w:fldChar w:fldCharType="end"/>
      </w:r>
    </w:p>
    <w:p w:rsidR="00614DA5" w:rsidRDefault="00614DA5">
      <w:pPr>
        <w:pStyle w:val="TDC3"/>
        <w:rPr>
          <w:rFonts w:asciiTheme="minorHAnsi" w:eastAsiaTheme="minorEastAsia" w:hAnsiTheme="minorHAnsi" w:cstheme="minorBidi"/>
          <w:noProof/>
          <w:sz w:val="22"/>
          <w:szCs w:val="22"/>
          <w:lang w:eastAsia="es-ES"/>
        </w:rPr>
      </w:pPr>
      <w:r w:rsidRPr="000A1126">
        <w:rPr>
          <w:noProof/>
          <w:lang w:val="es-ES_tradnl"/>
        </w:rPr>
        <w:t>5.6.5</w:t>
      </w:r>
      <w:r>
        <w:rPr>
          <w:rFonts w:asciiTheme="minorHAnsi" w:eastAsiaTheme="minorEastAsia" w:hAnsiTheme="minorHAnsi" w:cstheme="minorBidi"/>
          <w:noProof/>
          <w:sz w:val="22"/>
          <w:szCs w:val="22"/>
          <w:lang w:eastAsia="es-ES"/>
        </w:rPr>
        <w:tab/>
      </w:r>
      <w:r w:rsidRPr="000A1126">
        <w:rPr>
          <w:noProof/>
          <w:lang w:val="es-ES_tradnl"/>
        </w:rPr>
        <w:t>Dinamización de los entornos rurales por sector</w:t>
      </w:r>
      <w:r>
        <w:rPr>
          <w:noProof/>
        </w:rPr>
        <w:tab/>
      </w:r>
      <w:r w:rsidR="00AC67C0">
        <w:rPr>
          <w:noProof/>
        </w:rPr>
        <w:fldChar w:fldCharType="begin"/>
      </w:r>
      <w:r>
        <w:rPr>
          <w:noProof/>
        </w:rPr>
        <w:instrText xml:space="preserve"> PAGEREF _Toc410916890 \h </w:instrText>
      </w:r>
      <w:r w:rsidR="00AC67C0">
        <w:rPr>
          <w:noProof/>
        </w:rPr>
      </w:r>
      <w:r w:rsidR="00AC67C0">
        <w:rPr>
          <w:noProof/>
        </w:rPr>
        <w:fldChar w:fldCharType="separate"/>
      </w:r>
      <w:r>
        <w:rPr>
          <w:noProof/>
        </w:rPr>
        <w:t>90</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6</w:t>
      </w:r>
      <w:r>
        <w:rPr>
          <w:rFonts w:asciiTheme="minorHAnsi" w:eastAsiaTheme="minorEastAsia" w:hAnsiTheme="minorHAnsi" w:cstheme="minorBidi"/>
          <w:noProof/>
          <w:sz w:val="22"/>
          <w:szCs w:val="22"/>
          <w:lang w:eastAsia="es-ES"/>
        </w:rPr>
        <w:tab/>
      </w:r>
      <w:r w:rsidRPr="000A1126">
        <w:rPr>
          <w:noProof/>
          <w:lang w:val="es-ES_tradnl"/>
        </w:rPr>
        <w:t>Consultas a los Centros Especiales de Empleo</w:t>
      </w:r>
      <w:r>
        <w:rPr>
          <w:noProof/>
        </w:rPr>
        <w:tab/>
      </w:r>
      <w:r w:rsidR="00AC67C0">
        <w:rPr>
          <w:noProof/>
        </w:rPr>
        <w:fldChar w:fldCharType="begin"/>
      </w:r>
      <w:r>
        <w:rPr>
          <w:noProof/>
        </w:rPr>
        <w:instrText xml:space="preserve"> PAGEREF _Toc410916891 \h </w:instrText>
      </w:r>
      <w:r w:rsidR="00AC67C0">
        <w:rPr>
          <w:noProof/>
        </w:rPr>
      </w:r>
      <w:r w:rsidR="00AC67C0">
        <w:rPr>
          <w:noProof/>
        </w:rPr>
        <w:fldChar w:fldCharType="separate"/>
      </w:r>
      <w:r>
        <w:rPr>
          <w:noProof/>
        </w:rPr>
        <w:t>92</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7</w:t>
      </w:r>
      <w:r>
        <w:rPr>
          <w:rFonts w:asciiTheme="minorHAnsi" w:eastAsiaTheme="minorEastAsia" w:hAnsiTheme="minorHAnsi" w:cstheme="minorBidi"/>
          <w:noProof/>
          <w:sz w:val="22"/>
          <w:szCs w:val="22"/>
          <w:lang w:eastAsia="es-ES"/>
        </w:rPr>
        <w:tab/>
      </w:r>
      <w:r w:rsidRPr="000A1126">
        <w:rPr>
          <w:noProof/>
          <w:lang w:val="es-ES_tradnl"/>
        </w:rPr>
        <w:t>Conclusiones</w:t>
      </w:r>
      <w:r>
        <w:rPr>
          <w:noProof/>
        </w:rPr>
        <w:tab/>
      </w:r>
      <w:r w:rsidR="00AC67C0">
        <w:rPr>
          <w:noProof/>
        </w:rPr>
        <w:fldChar w:fldCharType="begin"/>
      </w:r>
      <w:r>
        <w:rPr>
          <w:noProof/>
        </w:rPr>
        <w:instrText xml:space="preserve"> PAGEREF _Toc410916892 \h </w:instrText>
      </w:r>
      <w:r w:rsidR="00AC67C0">
        <w:rPr>
          <w:noProof/>
        </w:rPr>
      </w:r>
      <w:r w:rsidR="00AC67C0">
        <w:rPr>
          <w:noProof/>
        </w:rPr>
        <w:fldChar w:fldCharType="separate"/>
      </w:r>
      <w:r>
        <w:rPr>
          <w:noProof/>
        </w:rPr>
        <w:t>105</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7.1</w:t>
      </w:r>
      <w:r>
        <w:rPr>
          <w:rFonts w:asciiTheme="minorHAnsi" w:eastAsiaTheme="minorEastAsia" w:hAnsiTheme="minorHAnsi" w:cstheme="minorBidi"/>
          <w:noProof/>
          <w:sz w:val="22"/>
          <w:szCs w:val="22"/>
          <w:lang w:eastAsia="es-ES"/>
        </w:rPr>
        <w:tab/>
      </w:r>
      <w:r w:rsidRPr="000A1126">
        <w:rPr>
          <w:noProof/>
          <w:lang w:val="es-ES_tradnl"/>
        </w:rPr>
        <w:t>Conclusiones de las consultas a los Centro Especiales de Empleo</w:t>
      </w:r>
      <w:r>
        <w:rPr>
          <w:noProof/>
        </w:rPr>
        <w:tab/>
      </w:r>
      <w:r w:rsidR="00AC67C0">
        <w:rPr>
          <w:noProof/>
        </w:rPr>
        <w:fldChar w:fldCharType="begin"/>
      </w:r>
      <w:r>
        <w:rPr>
          <w:noProof/>
        </w:rPr>
        <w:instrText xml:space="preserve"> PAGEREF _Toc410916893 \h </w:instrText>
      </w:r>
      <w:r w:rsidR="00AC67C0">
        <w:rPr>
          <w:noProof/>
        </w:rPr>
      </w:r>
      <w:r w:rsidR="00AC67C0">
        <w:rPr>
          <w:noProof/>
        </w:rPr>
        <w:fldChar w:fldCharType="separate"/>
      </w:r>
      <w:r>
        <w:rPr>
          <w:noProof/>
        </w:rPr>
        <w:t>111</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8</w:t>
      </w:r>
      <w:r>
        <w:rPr>
          <w:rFonts w:asciiTheme="minorHAnsi" w:eastAsiaTheme="minorEastAsia" w:hAnsiTheme="minorHAnsi" w:cstheme="minorBidi"/>
          <w:noProof/>
          <w:sz w:val="22"/>
          <w:szCs w:val="22"/>
          <w:lang w:eastAsia="es-ES"/>
        </w:rPr>
        <w:tab/>
      </w:r>
      <w:r w:rsidRPr="000A1126">
        <w:rPr>
          <w:noProof/>
          <w:lang w:val="es-ES_tradnl"/>
        </w:rPr>
        <w:t>Recomendaciones para los Centros Especiales de Empleo de Castilla y León</w:t>
      </w:r>
      <w:r>
        <w:rPr>
          <w:noProof/>
        </w:rPr>
        <w:tab/>
      </w:r>
      <w:r w:rsidR="00AC67C0">
        <w:rPr>
          <w:noProof/>
        </w:rPr>
        <w:fldChar w:fldCharType="begin"/>
      </w:r>
      <w:r>
        <w:rPr>
          <w:noProof/>
        </w:rPr>
        <w:instrText xml:space="preserve"> PAGEREF _Toc410916894 \h </w:instrText>
      </w:r>
      <w:r w:rsidR="00AC67C0">
        <w:rPr>
          <w:noProof/>
        </w:rPr>
      </w:r>
      <w:r w:rsidR="00AC67C0">
        <w:rPr>
          <w:noProof/>
        </w:rPr>
        <w:fldChar w:fldCharType="separate"/>
      </w:r>
      <w:r>
        <w:rPr>
          <w:noProof/>
        </w:rPr>
        <w:t>114</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8.1</w:t>
      </w:r>
      <w:r>
        <w:rPr>
          <w:rFonts w:asciiTheme="minorHAnsi" w:eastAsiaTheme="minorEastAsia" w:hAnsiTheme="minorHAnsi" w:cstheme="minorBidi"/>
          <w:noProof/>
          <w:sz w:val="22"/>
          <w:szCs w:val="22"/>
          <w:lang w:eastAsia="es-ES"/>
        </w:rPr>
        <w:tab/>
      </w:r>
      <w:r w:rsidRPr="000A1126">
        <w:rPr>
          <w:noProof/>
          <w:lang w:val="es-ES_tradnl"/>
        </w:rPr>
        <w:t>Avanzar en la profesionalización</w:t>
      </w:r>
      <w:r>
        <w:rPr>
          <w:noProof/>
        </w:rPr>
        <w:tab/>
      </w:r>
      <w:r w:rsidR="00AC67C0">
        <w:rPr>
          <w:noProof/>
        </w:rPr>
        <w:fldChar w:fldCharType="begin"/>
      </w:r>
      <w:r>
        <w:rPr>
          <w:noProof/>
        </w:rPr>
        <w:instrText xml:space="preserve"> PAGEREF _Toc410916895 \h </w:instrText>
      </w:r>
      <w:r w:rsidR="00AC67C0">
        <w:rPr>
          <w:noProof/>
        </w:rPr>
      </w:r>
      <w:r w:rsidR="00AC67C0">
        <w:rPr>
          <w:noProof/>
        </w:rPr>
        <w:fldChar w:fldCharType="separate"/>
      </w:r>
      <w:r>
        <w:rPr>
          <w:noProof/>
        </w:rPr>
        <w:t>114</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8.2</w:t>
      </w:r>
      <w:r>
        <w:rPr>
          <w:rFonts w:asciiTheme="minorHAnsi" w:eastAsiaTheme="minorEastAsia" w:hAnsiTheme="minorHAnsi" w:cstheme="minorBidi"/>
          <w:noProof/>
          <w:sz w:val="22"/>
          <w:szCs w:val="22"/>
          <w:lang w:eastAsia="es-ES"/>
        </w:rPr>
        <w:tab/>
      </w:r>
      <w:r w:rsidRPr="000A1126">
        <w:rPr>
          <w:noProof/>
          <w:lang w:val="es-ES_tradnl"/>
        </w:rPr>
        <w:t>Explorar la generación de alianzas</w:t>
      </w:r>
      <w:r>
        <w:rPr>
          <w:noProof/>
        </w:rPr>
        <w:tab/>
      </w:r>
      <w:r w:rsidR="00AC67C0">
        <w:rPr>
          <w:noProof/>
        </w:rPr>
        <w:fldChar w:fldCharType="begin"/>
      </w:r>
      <w:r>
        <w:rPr>
          <w:noProof/>
        </w:rPr>
        <w:instrText xml:space="preserve"> PAGEREF _Toc410916896 \h </w:instrText>
      </w:r>
      <w:r w:rsidR="00AC67C0">
        <w:rPr>
          <w:noProof/>
        </w:rPr>
      </w:r>
      <w:r w:rsidR="00AC67C0">
        <w:rPr>
          <w:noProof/>
        </w:rPr>
        <w:fldChar w:fldCharType="separate"/>
      </w:r>
      <w:r>
        <w:rPr>
          <w:noProof/>
        </w:rPr>
        <w:t>115</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8.3</w:t>
      </w:r>
      <w:r>
        <w:rPr>
          <w:rFonts w:asciiTheme="minorHAnsi" w:eastAsiaTheme="minorEastAsia" w:hAnsiTheme="minorHAnsi" w:cstheme="minorBidi"/>
          <w:noProof/>
          <w:sz w:val="22"/>
          <w:szCs w:val="22"/>
          <w:lang w:eastAsia="es-ES"/>
        </w:rPr>
        <w:tab/>
      </w:r>
      <w:r w:rsidRPr="000A1126">
        <w:rPr>
          <w:noProof/>
          <w:lang w:val="es-ES_tradnl"/>
        </w:rPr>
        <w:t>Un enfoque más comercial y orientado al mercado</w:t>
      </w:r>
      <w:r>
        <w:rPr>
          <w:noProof/>
        </w:rPr>
        <w:tab/>
      </w:r>
      <w:r w:rsidR="00AC67C0">
        <w:rPr>
          <w:noProof/>
        </w:rPr>
        <w:fldChar w:fldCharType="begin"/>
      </w:r>
      <w:r>
        <w:rPr>
          <w:noProof/>
        </w:rPr>
        <w:instrText xml:space="preserve"> PAGEREF _Toc410916897 \h </w:instrText>
      </w:r>
      <w:r w:rsidR="00AC67C0">
        <w:rPr>
          <w:noProof/>
        </w:rPr>
      </w:r>
      <w:r w:rsidR="00AC67C0">
        <w:rPr>
          <w:noProof/>
        </w:rPr>
        <w:fldChar w:fldCharType="separate"/>
      </w:r>
      <w:r>
        <w:rPr>
          <w:noProof/>
        </w:rPr>
        <w:t>116</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Pr>
          <w:noProof/>
        </w:rPr>
        <w:t>8.4</w:t>
      </w:r>
      <w:r>
        <w:rPr>
          <w:rFonts w:asciiTheme="minorHAnsi" w:eastAsiaTheme="minorEastAsia" w:hAnsiTheme="minorHAnsi" w:cstheme="minorBidi"/>
          <w:noProof/>
          <w:sz w:val="22"/>
          <w:szCs w:val="22"/>
          <w:lang w:eastAsia="es-ES"/>
        </w:rPr>
        <w:tab/>
      </w:r>
      <w:r w:rsidRPr="000A1126">
        <w:rPr>
          <w:noProof/>
          <w:lang w:val="es-ES_tradnl"/>
        </w:rPr>
        <w:t>Incorporar tecnología para mejorar las competencias y empleabilidad de las personas</w:t>
      </w:r>
      <w:r>
        <w:rPr>
          <w:noProof/>
        </w:rPr>
        <w:tab/>
      </w:r>
      <w:r w:rsidR="00AC67C0">
        <w:rPr>
          <w:noProof/>
        </w:rPr>
        <w:fldChar w:fldCharType="begin"/>
      </w:r>
      <w:r>
        <w:rPr>
          <w:noProof/>
        </w:rPr>
        <w:instrText xml:space="preserve"> PAGEREF _Toc410916898 \h </w:instrText>
      </w:r>
      <w:r w:rsidR="00AC67C0">
        <w:rPr>
          <w:noProof/>
        </w:rPr>
      </w:r>
      <w:r w:rsidR="00AC67C0">
        <w:rPr>
          <w:noProof/>
        </w:rPr>
        <w:fldChar w:fldCharType="separate"/>
      </w:r>
      <w:r>
        <w:rPr>
          <w:noProof/>
        </w:rPr>
        <w:t>117</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8.5</w:t>
      </w:r>
      <w:r>
        <w:rPr>
          <w:rFonts w:asciiTheme="minorHAnsi" w:eastAsiaTheme="minorEastAsia" w:hAnsiTheme="minorHAnsi" w:cstheme="minorBidi"/>
          <w:noProof/>
          <w:sz w:val="22"/>
          <w:szCs w:val="22"/>
          <w:lang w:eastAsia="es-ES"/>
        </w:rPr>
        <w:tab/>
      </w:r>
      <w:r w:rsidRPr="000A1126">
        <w:rPr>
          <w:noProof/>
          <w:lang w:val="es-ES_tradnl"/>
        </w:rPr>
        <w:t>Identificar oportunidades de financiación y colaboración que complementen las actuales</w:t>
      </w:r>
      <w:r>
        <w:rPr>
          <w:noProof/>
        </w:rPr>
        <w:tab/>
      </w:r>
      <w:r w:rsidR="00AC67C0">
        <w:rPr>
          <w:noProof/>
        </w:rPr>
        <w:fldChar w:fldCharType="begin"/>
      </w:r>
      <w:r>
        <w:rPr>
          <w:noProof/>
        </w:rPr>
        <w:instrText xml:space="preserve"> PAGEREF _Toc410916899 \h </w:instrText>
      </w:r>
      <w:r w:rsidR="00AC67C0">
        <w:rPr>
          <w:noProof/>
        </w:rPr>
      </w:r>
      <w:r w:rsidR="00AC67C0">
        <w:rPr>
          <w:noProof/>
        </w:rPr>
        <w:fldChar w:fldCharType="separate"/>
      </w:r>
      <w:r>
        <w:rPr>
          <w:noProof/>
        </w:rPr>
        <w:t>118</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8.6</w:t>
      </w:r>
      <w:r>
        <w:rPr>
          <w:rFonts w:asciiTheme="minorHAnsi" w:eastAsiaTheme="minorEastAsia" w:hAnsiTheme="minorHAnsi" w:cstheme="minorBidi"/>
          <w:noProof/>
          <w:sz w:val="22"/>
          <w:szCs w:val="22"/>
          <w:lang w:eastAsia="es-ES"/>
        </w:rPr>
        <w:tab/>
      </w:r>
      <w:r w:rsidRPr="000A1126">
        <w:rPr>
          <w:noProof/>
          <w:lang w:val="es-ES_tradnl"/>
        </w:rPr>
        <w:t>Integrar principios de transparencia como elemento de ventaja competitiva</w:t>
      </w:r>
      <w:r>
        <w:rPr>
          <w:noProof/>
        </w:rPr>
        <w:tab/>
      </w:r>
      <w:r w:rsidR="00AC67C0">
        <w:rPr>
          <w:noProof/>
        </w:rPr>
        <w:fldChar w:fldCharType="begin"/>
      </w:r>
      <w:r>
        <w:rPr>
          <w:noProof/>
        </w:rPr>
        <w:instrText xml:space="preserve"> PAGEREF _Toc410916900 \h </w:instrText>
      </w:r>
      <w:r w:rsidR="00AC67C0">
        <w:rPr>
          <w:noProof/>
        </w:rPr>
      </w:r>
      <w:r w:rsidR="00AC67C0">
        <w:rPr>
          <w:noProof/>
        </w:rPr>
        <w:fldChar w:fldCharType="separate"/>
      </w:r>
      <w:r>
        <w:rPr>
          <w:noProof/>
        </w:rPr>
        <w:t>119</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8.7</w:t>
      </w:r>
      <w:r>
        <w:rPr>
          <w:rFonts w:asciiTheme="minorHAnsi" w:eastAsiaTheme="minorEastAsia" w:hAnsiTheme="minorHAnsi" w:cstheme="minorBidi"/>
          <w:noProof/>
          <w:sz w:val="22"/>
          <w:szCs w:val="22"/>
          <w:lang w:eastAsia="es-ES"/>
        </w:rPr>
        <w:tab/>
      </w:r>
      <w:r w:rsidRPr="000A1126">
        <w:rPr>
          <w:noProof/>
          <w:lang w:val="es-ES_tradnl"/>
        </w:rPr>
        <w:t>Avanzar en la convergencia salarial</w:t>
      </w:r>
      <w:r>
        <w:rPr>
          <w:noProof/>
        </w:rPr>
        <w:tab/>
      </w:r>
      <w:r w:rsidR="00AC67C0">
        <w:rPr>
          <w:noProof/>
        </w:rPr>
        <w:fldChar w:fldCharType="begin"/>
      </w:r>
      <w:r>
        <w:rPr>
          <w:noProof/>
        </w:rPr>
        <w:instrText xml:space="preserve"> PAGEREF _Toc410916901 \h </w:instrText>
      </w:r>
      <w:r w:rsidR="00AC67C0">
        <w:rPr>
          <w:noProof/>
        </w:rPr>
      </w:r>
      <w:r w:rsidR="00AC67C0">
        <w:rPr>
          <w:noProof/>
        </w:rPr>
        <w:fldChar w:fldCharType="separate"/>
      </w:r>
      <w:r>
        <w:rPr>
          <w:noProof/>
        </w:rPr>
        <w:t>120</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8.8</w:t>
      </w:r>
      <w:r>
        <w:rPr>
          <w:rFonts w:asciiTheme="minorHAnsi" w:eastAsiaTheme="minorEastAsia" w:hAnsiTheme="minorHAnsi" w:cstheme="minorBidi"/>
          <w:noProof/>
          <w:sz w:val="22"/>
          <w:szCs w:val="22"/>
          <w:lang w:eastAsia="es-ES"/>
        </w:rPr>
        <w:tab/>
      </w:r>
      <w:r w:rsidRPr="000A1126">
        <w:rPr>
          <w:noProof/>
          <w:lang w:val="es-ES_tradnl"/>
        </w:rPr>
        <w:t>Evolución a sectores de actividad con mayor valor añadido</w:t>
      </w:r>
      <w:r>
        <w:rPr>
          <w:noProof/>
        </w:rPr>
        <w:tab/>
      </w:r>
      <w:r w:rsidR="00AC67C0">
        <w:rPr>
          <w:noProof/>
        </w:rPr>
        <w:fldChar w:fldCharType="begin"/>
      </w:r>
      <w:r>
        <w:rPr>
          <w:noProof/>
        </w:rPr>
        <w:instrText xml:space="preserve"> PAGEREF _Toc410916902 \h </w:instrText>
      </w:r>
      <w:r w:rsidR="00AC67C0">
        <w:rPr>
          <w:noProof/>
        </w:rPr>
      </w:r>
      <w:r w:rsidR="00AC67C0">
        <w:rPr>
          <w:noProof/>
        </w:rPr>
        <w:fldChar w:fldCharType="separate"/>
      </w:r>
      <w:r>
        <w:rPr>
          <w:noProof/>
        </w:rPr>
        <w:t>121</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8.9</w:t>
      </w:r>
      <w:r>
        <w:rPr>
          <w:rFonts w:asciiTheme="minorHAnsi" w:eastAsiaTheme="minorEastAsia" w:hAnsiTheme="minorHAnsi" w:cstheme="minorBidi"/>
          <w:noProof/>
          <w:sz w:val="22"/>
          <w:szCs w:val="22"/>
          <w:lang w:eastAsia="es-ES"/>
        </w:rPr>
        <w:tab/>
      </w:r>
      <w:r w:rsidRPr="000A1126">
        <w:rPr>
          <w:noProof/>
          <w:lang w:val="es-ES_tradnl"/>
        </w:rPr>
        <w:t>Un marco de ayudas incentivador</w:t>
      </w:r>
      <w:r>
        <w:rPr>
          <w:noProof/>
        </w:rPr>
        <w:tab/>
      </w:r>
      <w:r w:rsidR="00AC67C0">
        <w:rPr>
          <w:noProof/>
        </w:rPr>
        <w:fldChar w:fldCharType="begin"/>
      </w:r>
      <w:r>
        <w:rPr>
          <w:noProof/>
        </w:rPr>
        <w:instrText xml:space="preserve"> PAGEREF _Toc410916903 \h </w:instrText>
      </w:r>
      <w:r w:rsidR="00AC67C0">
        <w:rPr>
          <w:noProof/>
        </w:rPr>
      </w:r>
      <w:r w:rsidR="00AC67C0">
        <w:rPr>
          <w:noProof/>
        </w:rPr>
        <w:fldChar w:fldCharType="separate"/>
      </w:r>
      <w:r>
        <w:rPr>
          <w:noProof/>
        </w:rPr>
        <w:t>123</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8.10</w:t>
      </w:r>
      <w:r>
        <w:rPr>
          <w:rFonts w:asciiTheme="minorHAnsi" w:eastAsiaTheme="minorEastAsia" w:hAnsiTheme="minorHAnsi" w:cstheme="minorBidi"/>
          <w:noProof/>
          <w:sz w:val="22"/>
          <w:szCs w:val="22"/>
          <w:lang w:eastAsia="es-ES"/>
        </w:rPr>
        <w:tab/>
      </w:r>
      <w:r w:rsidRPr="000A1126">
        <w:rPr>
          <w:noProof/>
          <w:lang w:val="es-ES_tradnl"/>
        </w:rPr>
        <w:t>Identificar mecanismos que aseguren el retorno de los beneficios al propio centro</w:t>
      </w:r>
      <w:r>
        <w:rPr>
          <w:noProof/>
        </w:rPr>
        <w:tab/>
      </w:r>
      <w:r w:rsidR="00AC67C0">
        <w:rPr>
          <w:noProof/>
        </w:rPr>
        <w:fldChar w:fldCharType="begin"/>
      </w:r>
      <w:r>
        <w:rPr>
          <w:noProof/>
        </w:rPr>
        <w:instrText xml:space="preserve"> PAGEREF _Toc410916904 \h </w:instrText>
      </w:r>
      <w:r w:rsidR="00AC67C0">
        <w:rPr>
          <w:noProof/>
        </w:rPr>
      </w:r>
      <w:r w:rsidR="00AC67C0">
        <w:rPr>
          <w:noProof/>
        </w:rPr>
        <w:fldChar w:fldCharType="separate"/>
      </w:r>
      <w:r>
        <w:rPr>
          <w:noProof/>
        </w:rPr>
        <w:t>123</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9</w:t>
      </w:r>
      <w:r>
        <w:rPr>
          <w:rFonts w:asciiTheme="minorHAnsi" w:eastAsiaTheme="minorEastAsia" w:hAnsiTheme="minorHAnsi" w:cstheme="minorBidi"/>
          <w:noProof/>
          <w:sz w:val="22"/>
          <w:szCs w:val="22"/>
          <w:lang w:eastAsia="es-ES"/>
        </w:rPr>
        <w:tab/>
      </w:r>
      <w:r w:rsidRPr="000A1126">
        <w:rPr>
          <w:noProof/>
          <w:lang w:val="es-ES_tradnl"/>
        </w:rPr>
        <w:t>Anexo I: Análisis de dos Centros Especiales de Empleo ejemplares y comparativa sectorial de INFORMA</w:t>
      </w:r>
      <w:r>
        <w:rPr>
          <w:noProof/>
        </w:rPr>
        <w:tab/>
      </w:r>
      <w:r w:rsidR="00AC67C0">
        <w:rPr>
          <w:noProof/>
        </w:rPr>
        <w:fldChar w:fldCharType="begin"/>
      </w:r>
      <w:r>
        <w:rPr>
          <w:noProof/>
        </w:rPr>
        <w:instrText xml:space="preserve"> PAGEREF _Toc410916905 \h </w:instrText>
      </w:r>
      <w:r w:rsidR="00AC67C0">
        <w:rPr>
          <w:noProof/>
        </w:rPr>
      </w:r>
      <w:r w:rsidR="00AC67C0">
        <w:rPr>
          <w:noProof/>
        </w:rPr>
        <w:fldChar w:fldCharType="separate"/>
      </w:r>
      <w:r>
        <w:rPr>
          <w:noProof/>
        </w:rPr>
        <w:t>125</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9.1</w:t>
      </w:r>
      <w:r>
        <w:rPr>
          <w:rFonts w:asciiTheme="minorHAnsi" w:eastAsiaTheme="minorEastAsia" w:hAnsiTheme="minorHAnsi" w:cstheme="minorBidi"/>
          <w:noProof/>
          <w:sz w:val="22"/>
          <w:szCs w:val="22"/>
          <w:lang w:eastAsia="es-ES"/>
        </w:rPr>
        <w:tab/>
      </w:r>
      <w:r w:rsidRPr="000A1126">
        <w:rPr>
          <w:noProof/>
          <w:lang w:val="es-ES_tradnl"/>
        </w:rPr>
        <w:t>Centro A (el nombre real se omite para proteger la confidencialidad de los datos)</w:t>
      </w:r>
      <w:r>
        <w:rPr>
          <w:noProof/>
        </w:rPr>
        <w:tab/>
      </w:r>
      <w:r w:rsidR="00AC67C0">
        <w:rPr>
          <w:noProof/>
        </w:rPr>
        <w:fldChar w:fldCharType="begin"/>
      </w:r>
      <w:r>
        <w:rPr>
          <w:noProof/>
        </w:rPr>
        <w:instrText xml:space="preserve"> PAGEREF _Toc410916906 \h </w:instrText>
      </w:r>
      <w:r w:rsidR="00AC67C0">
        <w:rPr>
          <w:noProof/>
        </w:rPr>
      </w:r>
      <w:r w:rsidR="00AC67C0">
        <w:rPr>
          <w:noProof/>
        </w:rPr>
        <w:fldChar w:fldCharType="separate"/>
      </w:r>
      <w:r>
        <w:rPr>
          <w:noProof/>
        </w:rPr>
        <w:t>125</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9.2</w:t>
      </w:r>
      <w:r>
        <w:rPr>
          <w:rFonts w:asciiTheme="minorHAnsi" w:eastAsiaTheme="minorEastAsia" w:hAnsiTheme="minorHAnsi" w:cstheme="minorBidi"/>
          <w:noProof/>
          <w:sz w:val="22"/>
          <w:szCs w:val="22"/>
          <w:lang w:eastAsia="es-ES"/>
        </w:rPr>
        <w:tab/>
      </w:r>
      <w:r w:rsidRPr="000A1126">
        <w:rPr>
          <w:noProof/>
          <w:lang w:val="es-ES_tradnl"/>
        </w:rPr>
        <w:t>Centro B (el nombre real se omite para proteger la confidencialidad de los datos).</w:t>
      </w:r>
      <w:r>
        <w:rPr>
          <w:noProof/>
        </w:rPr>
        <w:tab/>
      </w:r>
      <w:r w:rsidR="00AC67C0">
        <w:rPr>
          <w:noProof/>
        </w:rPr>
        <w:fldChar w:fldCharType="begin"/>
      </w:r>
      <w:r>
        <w:rPr>
          <w:noProof/>
        </w:rPr>
        <w:instrText xml:space="preserve"> PAGEREF _Toc410916907 \h </w:instrText>
      </w:r>
      <w:r w:rsidR="00AC67C0">
        <w:rPr>
          <w:noProof/>
        </w:rPr>
      </w:r>
      <w:r w:rsidR="00AC67C0">
        <w:rPr>
          <w:noProof/>
        </w:rPr>
        <w:fldChar w:fldCharType="separate"/>
      </w:r>
      <w:r>
        <w:rPr>
          <w:noProof/>
        </w:rPr>
        <w:t>127</w:t>
      </w:r>
      <w:r w:rsidR="00AC67C0">
        <w:rPr>
          <w:noProof/>
        </w:rPr>
        <w:fldChar w:fldCharType="end"/>
      </w:r>
    </w:p>
    <w:p w:rsidR="00614DA5" w:rsidRDefault="00614DA5">
      <w:pPr>
        <w:pStyle w:val="TDC1"/>
        <w:rPr>
          <w:rFonts w:asciiTheme="minorHAnsi" w:eastAsiaTheme="minorEastAsia" w:hAnsiTheme="minorHAnsi" w:cstheme="minorBidi"/>
          <w:noProof/>
          <w:sz w:val="22"/>
          <w:szCs w:val="22"/>
          <w:lang w:eastAsia="es-ES"/>
        </w:rPr>
      </w:pPr>
      <w:r w:rsidRPr="000A1126">
        <w:rPr>
          <w:noProof/>
          <w:lang w:val="es-ES_tradnl"/>
        </w:rPr>
        <w:t>10</w:t>
      </w:r>
      <w:r>
        <w:rPr>
          <w:rFonts w:asciiTheme="minorHAnsi" w:eastAsiaTheme="minorEastAsia" w:hAnsiTheme="minorHAnsi" w:cstheme="minorBidi"/>
          <w:noProof/>
          <w:sz w:val="22"/>
          <w:szCs w:val="22"/>
          <w:lang w:eastAsia="es-ES"/>
        </w:rPr>
        <w:tab/>
      </w:r>
      <w:r w:rsidRPr="000A1126">
        <w:rPr>
          <w:noProof/>
          <w:lang w:val="es-ES_tradnl"/>
        </w:rPr>
        <w:t>Anexo II: Dimensiones e Indicadores Utilizados en la Evaluación de los Centros Especiales de Empleo</w:t>
      </w:r>
      <w:r>
        <w:rPr>
          <w:noProof/>
        </w:rPr>
        <w:tab/>
      </w:r>
      <w:r w:rsidR="00AC67C0">
        <w:rPr>
          <w:noProof/>
        </w:rPr>
        <w:fldChar w:fldCharType="begin"/>
      </w:r>
      <w:r>
        <w:rPr>
          <w:noProof/>
        </w:rPr>
        <w:instrText xml:space="preserve"> PAGEREF _Toc410916908 \h </w:instrText>
      </w:r>
      <w:r w:rsidR="00AC67C0">
        <w:rPr>
          <w:noProof/>
        </w:rPr>
      </w:r>
      <w:r w:rsidR="00AC67C0">
        <w:rPr>
          <w:noProof/>
        </w:rPr>
        <w:fldChar w:fldCharType="separate"/>
      </w:r>
      <w:r>
        <w:rPr>
          <w:noProof/>
        </w:rPr>
        <w:t>131</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rFonts w:eastAsia="Calibri"/>
          <w:noProof/>
          <w:lang w:val="es-ES_tradnl"/>
        </w:rPr>
        <w:t>10.1</w:t>
      </w:r>
      <w:r>
        <w:rPr>
          <w:rFonts w:asciiTheme="minorHAnsi" w:eastAsiaTheme="minorEastAsia" w:hAnsiTheme="minorHAnsi" w:cstheme="minorBidi"/>
          <w:noProof/>
          <w:sz w:val="22"/>
          <w:szCs w:val="22"/>
          <w:lang w:eastAsia="es-ES"/>
        </w:rPr>
        <w:tab/>
      </w:r>
      <w:r w:rsidRPr="000A1126">
        <w:rPr>
          <w:rFonts w:eastAsia="Calibri"/>
          <w:noProof/>
          <w:lang w:val="es-ES_tradnl"/>
        </w:rPr>
        <w:t>Evaluación financiera</w:t>
      </w:r>
      <w:r>
        <w:rPr>
          <w:noProof/>
        </w:rPr>
        <w:tab/>
      </w:r>
      <w:r w:rsidR="00AC67C0">
        <w:rPr>
          <w:noProof/>
        </w:rPr>
        <w:fldChar w:fldCharType="begin"/>
      </w:r>
      <w:r>
        <w:rPr>
          <w:noProof/>
        </w:rPr>
        <w:instrText xml:space="preserve"> PAGEREF _Toc410916909 \h </w:instrText>
      </w:r>
      <w:r w:rsidR="00AC67C0">
        <w:rPr>
          <w:noProof/>
        </w:rPr>
      </w:r>
      <w:r w:rsidR="00AC67C0">
        <w:rPr>
          <w:noProof/>
        </w:rPr>
        <w:fldChar w:fldCharType="separate"/>
      </w:r>
      <w:r>
        <w:rPr>
          <w:noProof/>
        </w:rPr>
        <w:t>131</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t>10.2</w:t>
      </w:r>
      <w:r>
        <w:rPr>
          <w:rFonts w:asciiTheme="minorHAnsi" w:eastAsiaTheme="minorEastAsia" w:hAnsiTheme="minorHAnsi" w:cstheme="minorBidi"/>
          <w:noProof/>
          <w:sz w:val="22"/>
          <w:szCs w:val="22"/>
          <w:lang w:eastAsia="es-ES"/>
        </w:rPr>
        <w:tab/>
      </w:r>
      <w:r w:rsidRPr="000A1126">
        <w:rPr>
          <w:noProof/>
          <w:lang w:val="es-ES_tradnl"/>
        </w:rPr>
        <w:t>Evaluación de la posición competitiva</w:t>
      </w:r>
      <w:r>
        <w:rPr>
          <w:noProof/>
        </w:rPr>
        <w:tab/>
      </w:r>
      <w:r w:rsidR="00AC67C0">
        <w:rPr>
          <w:noProof/>
        </w:rPr>
        <w:fldChar w:fldCharType="begin"/>
      </w:r>
      <w:r>
        <w:rPr>
          <w:noProof/>
        </w:rPr>
        <w:instrText xml:space="preserve"> PAGEREF _Toc410916910 \h </w:instrText>
      </w:r>
      <w:r w:rsidR="00AC67C0">
        <w:rPr>
          <w:noProof/>
        </w:rPr>
      </w:r>
      <w:r w:rsidR="00AC67C0">
        <w:rPr>
          <w:noProof/>
        </w:rPr>
        <w:fldChar w:fldCharType="separate"/>
      </w:r>
      <w:r>
        <w:rPr>
          <w:noProof/>
        </w:rPr>
        <w:t>133</w:t>
      </w:r>
      <w:r w:rsidR="00AC67C0">
        <w:rPr>
          <w:noProof/>
        </w:rPr>
        <w:fldChar w:fldCharType="end"/>
      </w:r>
    </w:p>
    <w:p w:rsidR="00614DA5" w:rsidRDefault="00614DA5">
      <w:pPr>
        <w:pStyle w:val="TDC2"/>
        <w:rPr>
          <w:rFonts w:asciiTheme="minorHAnsi" w:eastAsiaTheme="minorEastAsia" w:hAnsiTheme="minorHAnsi" w:cstheme="minorBidi"/>
          <w:noProof/>
          <w:sz w:val="22"/>
          <w:szCs w:val="22"/>
          <w:lang w:eastAsia="es-ES"/>
        </w:rPr>
      </w:pPr>
      <w:r w:rsidRPr="000A1126">
        <w:rPr>
          <w:noProof/>
          <w:lang w:val="es-ES_tradnl"/>
        </w:rPr>
        <w:lastRenderedPageBreak/>
        <w:t>10.3</w:t>
      </w:r>
      <w:r>
        <w:rPr>
          <w:rFonts w:asciiTheme="minorHAnsi" w:eastAsiaTheme="minorEastAsia" w:hAnsiTheme="minorHAnsi" w:cstheme="minorBidi"/>
          <w:noProof/>
          <w:sz w:val="22"/>
          <w:szCs w:val="22"/>
          <w:lang w:eastAsia="es-ES"/>
        </w:rPr>
        <w:tab/>
      </w:r>
      <w:r w:rsidRPr="000A1126">
        <w:rPr>
          <w:noProof/>
          <w:lang w:val="es-ES_tradnl"/>
        </w:rPr>
        <w:t>Evaluación del Impacto Social</w:t>
      </w:r>
      <w:r>
        <w:rPr>
          <w:noProof/>
        </w:rPr>
        <w:tab/>
      </w:r>
      <w:r w:rsidR="00AC67C0">
        <w:rPr>
          <w:noProof/>
        </w:rPr>
        <w:fldChar w:fldCharType="begin"/>
      </w:r>
      <w:r>
        <w:rPr>
          <w:noProof/>
        </w:rPr>
        <w:instrText xml:space="preserve"> PAGEREF _Toc410916911 \h </w:instrText>
      </w:r>
      <w:r w:rsidR="00AC67C0">
        <w:rPr>
          <w:noProof/>
        </w:rPr>
      </w:r>
      <w:r w:rsidR="00AC67C0">
        <w:rPr>
          <w:noProof/>
        </w:rPr>
        <w:fldChar w:fldCharType="separate"/>
      </w:r>
      <w:r>
        <w:rPr>
          <w:noProof/>
        </w:rPr>
        <w:t>134</w:t>
      </w:r>
      <w:r w:rsidR="00AC67C0">
        <w:rPr>
          <w:noProof/>
        </w:rPr>
        <w:fldChar w:fldCharType="end"/>
      </w:r>
    </w:p>
    <w:p w:rsidR="001C49E5" w:rsidRPr="005573EA" w:rsidRDefault="00AC67C0" w:rsidP="005573EA">
      <w:pPr>
        <w:sectPr w:rsidR="001C49E5" w:rsidRPr="005573EA">
          <w:headerReference w:type="even" r:id="rId21"/>
          <w:headerReference w:type="default" r:id="rId22"/>
          <w:footerReference w:type="default" r:id="rId23"/>
          <w:headerReference w:type="first" r:id="rId24"/>
          <w:pgSz w:w="11907" w:h="16840" w:code="9"/>
          <w:pgMar w:top="2835" w:right="1474" w:bottom="1588" w:left="1474" w:header="1077" w:footer="709" w:gutter="454"/>
          <w:pgNumType w:fmt="lowerRoman" w:start="1"/>
          <w:cols w:space="737"/>
        </w:sectPr>
      </w:pPr>
      <w:r w:rsidRPr="00947607">
        <w:rPr>
          <w:b/>
          <w:sz w:val="36"/>
        </w:rPr>
        <w:fldChar w:fldCharType="end"/>
      </w:r>
    </w:p>
    <w:p w:rsidR="00BD14D3" w:rsidRPr="00842404" w:rsidRDefault="00BD14D3" w:rsidP="00BD14D3">
      <w:pPr>
        <w:pStyle w:val="Ttulo1"/>
        <w:rPr>
          <w:szCs w:val="32"/>
          <w:lang w:val="es-ES_tradnl"/>
        </w:rPr>
      </w:pPr>
      <w:bookmarkStart w:id="4" w:name="Text"/>
      <w:bookmarkStart w:id="5" w:name="_Toc410916857"/>
      <w:bookmarkEnd w:id="4"/>
      <w:r w:rsidRPr="008D494F">
        <w:rPr>
          <w:szCs w:val="32"/>
        </w:rPr>
        <w:lastRenderedPageBreak/>
        <w:t xml:space="preserve">Introducción: Las personas con discapacidad y la labor social de los </w:t>
      </w:r>
      <w:r w:rsidR="00263316">
        <w:rPr>
          <w:szCs w:val="32"/>
        </w:rPr>
        <w:t>Centros Especiales de Empleo</w:t>
      </w:r>
      <w:bookmarkEnd w:id="5"/>
    </w:p>
    <w:p w:rsidR="00BD14D3" w:rsidRPr="00BE20A7" w:rsidRDefault="00BD14D3" w:rsidP="00BD14D3">
      <w:pPr>
        <w:pStyle w:val="Textoindependiente"/>
        <w:spacing w:after="0" w:line="360" w:lineRule="auto"/>
        <w:rPr>
          <w:lang w:val="es-ES_tradnl"/>
        </w:rPr>
      </w:pPr>
    </w:p>
    <w:p w:rsidR="0066132E" w:rsidRPr="00BE20A7" w:rsidRDefault="00BD14D3" w:rsidP="00BD14D3">
      <w:pPr>
        <w:autoSpaceDE w:val="0"/>
        <w:autoSpaceDN w:val="0"/>
        <w:spacing w:line="360" w:lineRule="auto"/>
        <w:jc w:val="both"/>
        <w:rPr>
          <w:sz w:val="24"/>
          <w:szCs w:val="24"/>
        </w:rPr>
      </w:pPr>
      <w:r w:rsidRPr="00BE20A7">
        <w:rPr>
          <w:sz w:val="24"/>
          <w:szCs w:val="24"/>
          <w:lang w:val="es-ES_tradnl"/>
        </w:rPr>
        <w:t xml:space="preserve">Como es sabido, las personas con discapacidad se enfrentan a mayores dificultades que el resto de la población en numerosos ámbitos de la vida cotidiana, sobre todo en lo relacionado con la educación y con la inserción laboral. Esto genera un proceso de feedback negativo que hace que las personas con discapacidad acaben sufriendo mayores tasas de pobreza y de exclusión social que el resto de la población. De entre los </w:t>
      </w:r>
      <w:r w:rsidR="00D01E84">
        <w:rPr>
          <w:sz w:val="24"/>
          <w:szCs w:val="24"/>
          <w:lang w:val="es-ES_tradnl"/>
        </w:rPr>
        <w:t>naciones más desarrollada</w:t>
      </w:r>
      <w:r w:rsidRPr="00BE20A7">
        <w:rPr>
          <w:sz w:val="24"/>
          <w:szCs w:val="24"/>
          <w:lang w:val="es-ES_tradnl"/>
        </w:rPr>
        <w:t xml:space="preserve">s, España es uno de los países </w:t>
      </w:r>
      <w:r w:rsidR="00D01E84">
        <w:rPr>
          <w:sz w:val="24"/>
          <w:szCs w:val="24"/>
          <w:lang w:val="es-ES_tradnl"/>
        </w:rPr>
        <w:t>en los que</w:t>
      </w:r>
      <w:r w:rsidRPr="00BE20A7">
        <w:rPr>
          <w:sz w:val="24"/>
          <w:szCs w:val="24"/>
          <w:lang w:val="es-ES_tradnl"/>
        </w:rPr>
        <w:t xml:space="preserve"> las personas con discapacidad</w:t>
      </w:r>
      <w:r w:rsidR="00D01E84">
        <w:rPr>
          <w:sz w:val="24"/>
          <w:szCs w:val="24"/>
          <w:lang w:val="es-ES_tradnl"/>
        </w:rPr>
        <w:t xml:space="preserve"> se encuentra más barreras que superar</w:t>
      </w:r>
      <w:r w:rsidRPr="00BE20A7">
        <w:rPr>
          <w:sz w:val="24"/>
          <w:szCs w:val="24"/>
          <w:lang w:val="es-ES_tradnl"/>
        </w:rPr>
        <w:t>, algo que se constata en el hecho de que el porcentaje del PIB que nuestro país dedica a la integración de personas con discapacidad es menor que el de otros países europeos, de acuerdo a los datos de los organismos internacionales.</w:t>
      </w:r>
      <w:r w:rsidR="001C1AB7">
        <w:rPr>
          <w:sz w:val="24"/>
          <w:szCs w:val="24"/>
          <w:lang w:val="es-ES_tradnl"/>
        </w:rPr>
        <w:t xml:space="preserve"> </w:t>
      </w:r>
      <w:r w:rsidRPr="00BE20A7">
        <w:rPr>
          <w:sz w:val="24"/>
          <w:szCs w:val="24"/>
          <w:lang w:val="es-ES_tradnl"/>
        </w:rPr>
        <w:t>La situación económica del país tampoco ayuda a la mejora del bienestar de colectivos vulnerables como las personas con discapacidad. Según recoge el documento “Assesing the impact of European Governments’ austerity plan son the rights of people with disabilities”, elaborado en octubre de 2012 por el European Foundation Centre, los recortes de servicios y beneficios sociales relacionados con la discapacidad pone</w:t>
      </w:r>
      <w:r w:rsidR="00FE32B8">
        <w:rPr>
          <w:sz w:val="24"/>
          <w:szCs w:val="24"/>
          <w:lang w:val="es-ES_tradnl"/>
        </w:rPr>
        <w:t>n</w:t>
      </w:r>
      <w:r w:rsidRPr="00BE20A7">
        <w:rPr>
          <w:sz w:val="24"/>
          <w:szCs w:val="24"/>
          <w:lang w:val="es-ES_tradnl"/>
        </w:rPr>
        <w:t xml:space="preserve"> en riesgo la capacidad </w:t>
      </w:r>
      <w:r w:rsidR="00D01E84">
        <w:rPr>
          <w:sz w:val="24"/>
          <w:szCs w:val="24"/>
          <w:lang w:val="es-ES_tradnl"/>
        </w:rPr>
        <w:t>de este colectivo</w:t>
      </w:r>
      <w:r w:rsidRPr="00BE20A7">
        <w:rPr>
          <w:sz w:val="24"/>
          <w:szCs w:val="24"/>
          <w:lang w:val="es-ES_tradnl"/>
        </w:rPr>
        <w:t xml:space="preserve"> de encontrar un empleo.</w:t>
      </w:r>
      <w:r w:rsidR="00910E8D">
        <w:rPr>
          <w:rStyle w:val="Refdenotaalpie"/>
          <w:sz w:val="24"/>
          <w:szCs w:val="24"/>
          <w:lang w:val="es-ES_tradnl"/>
        </w:rPr>
        <w:footnoteReference w:id="1"/>
      </w:r>
    </w:p>
    <w:p w:rsidR="00BD14D3" w:rsidRPr="00BE20A7" w:rsidRDefault="00BD14D3" w:rsidP="00BD14D3">
      <w:pPr>
        <w:autoSpaceDE w:val="0"/>
        <w:autoSpaceDN w:val="0"/>
        <w:spacing w:line="360" w:lineRule="auto"/>
        <w:jc w:val="both"/>
        <w:rPr>
          <w:sz w:val="24"/>
          <w:szCs w:val="24"/>
        </w:rPr>
      </w:pPr>
    </w:p>
    <w:p w:rsidR="00BD14D3" w:rsidRPr="00BE20A7" w:rsidRDefault="00BD14D3" w:rsidP="00BD14D3">
      <w:pPr>
        <w:autoSpaceDE w:val="0"/>
        <w:autoSpaceDN w:val="0"/>
        <w:spacing w:line="360" w:lineRule="auto"/>
        <w:jc w:val="both"/>
        <w:rPr>
          <w:color w:val="FF0000"/>
          <w:sz w:val="24"/>
          <w:szCs w:val="24"/>
          <w:u w:val="single"/>
          <w:lang w:val="es-ES_tradnl"/>
        </w:rPr>
      </w:pPr>
      <w:r w:rsidRPr="00BE20A7">
        <w:rPr>
          <w:sz w:val="24"/>
          <w:szCs w:val="24"/>
          <w:lang w:val="es-ES_tradnl"/>
        </w:rPr>
        <w:t>Dado que, de partida, las personas con discapacidad tienen un mayor riesgo de pobreza y exclusión social, el acceso al trabajo constituye una de las vías principales para asegurar que, tal y como se establece en la Convención sobre los Derechos de las Personas con Discapacidad de Naciones Unidas, éstas puedan gozar plenamente de todos</w:t>
      </w:r>
      <w:r w:rsidR="00084B6F">
        <w:rPr>
          <w:sz w:val="24"/>
          <w:szCs w:val="24"/>
          <w:lang w:val="es-ES_tradnl"/>
        </w:rPr>
        <w:t xml:space="preserve"> sus</w:t>
      </w:r>
      <w:r w:rsidRPr="00BE20A7">
        <w:rPr>
          <w:sz w:val="24"/>
          <w:szCs w:val="24"/>
          <w:lang w:val="es-ES_tradnl"/>
        </w:rPr>
        <w:t xml:space="preserve"> derechos. La misma convención establece el derecho de las personas con discapacidad a trabajar y ganarse la vida, en igualdad de condiciones que las demás, en un trabajo libremente elegido y en un entorno que sea abierto, inclusivo y accesible.</w:t>
      </w:r>
    </w:p>
    <w:p w:rsidR="00BD14D3" w:rsidRPr="00BE20A7" w:rsidRDefault="00BD14D3" w:rsidP="00BD14D3">
      <w:pPr>
        <w:autoSpaceDE w:val="0"/>
        <w:autoSpaceDN w:val="0"/>
        <w:spacing w:line="360" w:lineRule="auto"/>
        <w:jc w:val="both"/>
        <w:rPr>
          <w:sz w:val="24"/>
          <w:szCs w:val="24"/>
          <w:lang w:val="es-ES_tradnl"/>
        </w:rPr>
      </w:pPr>
    </w:p>
    <w:p w:rsidR="00BD14D3" w:rsidRPr="00BE20A7" w:rsidRDefault="00BD14D3" w:rsidP="00BD14D3">
      <w:pPr>
        <w:autoSpaceDE w:val="0"/>
        <w:autoSpaceDN w:val="0"/>
        <w:spacing w:line="360" w:lineRule="auto"/>
        <w:jc w:val="both"/>
        <w:rPr>
          <w:sz w:val="24"/>
          <w:szCs w:val="24"/>
          <w:lang w:val="es-ES_tradnl"/>
        </w:rPr>
      </w:pPr>
      <w:r w:rsidRPr="00BE20A7">
        <w:rPr>
          <w:sz w:val="24"/>
          <w:szCs w:val="24"/>
          <w:lang w:val="es-ES_tradnl"/>
        </w:rPr>
        <w:lastRenderedPageBreak/>
        <w:t>La integración en el mercado laboral es un asunto complejo en el que confluyen diversos factores y que puede ser analizado desde diferentes puntos de vista. Algunos de los pasos que hay que dar para conseguir la integración incluyen, entre otros, combatir la discriminación, eliminar las barreras de entrada o incentivar a empleados y empleadores. Pero también requiere de la existencia de entornos de trabajo en los que las personas con discapacidad puedan desarrollar su potencial, de agencias públicas de empleo o servicios especializados</w:t>
      </w:r>
      <w:r w:rsidR="00AA621B">
        <w:rPr>
          <w:color w:val="FF0000"/>
          <w:sz w:val="24"/>
          <w:szCs w:val="24"/>
          <w:u w:val="single"/>
          <w:lang w:val="es-ES_tradnl"/>
        </w:rPr>
        <w:t xml:space="preserve"> </w:t>
      </w:r>
      <w:r w:rsidRPr="00BE20A7">
        <w:rPr>
          <w:sz w:val="24"/>
          <w:szCs w:val="24"/>
          <w:lang w:val="es-ES_tradnl"/>
        </w:rPr>
        <w:t>capaces de atender también a</w:t>
      </w:r>
      <w:r w:rsidR="00084B6F">
        <w:rPr>
          <w:sz w:val="24"/>
          <w:szCs w:val="24"/>
          <w:lang w:val="es-ES_tradnl"/>
        </w:rPr>
        <w:t xml:space="preserve"> sus</w:t>
      </w:r>
      <w:r w:rsidRPr="00BE20A7">
        <w:rPr>
          <w:sz w:val="24"/>
          <w:szCs w:val="24"/>
          <w:lang w:val="es-ES_tradnl"/>
        </w:rPr>
        <w:t xml:space="preserve"> necesidades o del apoyo y reconocimiento social a los empleadores que les ofrecen oportunidades. </w:t>
      </w:r>
      <w:r w:rsidR="00084B6F">
        <w:rPr>
          <w:sz w:val="24"/>
          <w:szCs w:val="24"/>
          <w:lang w:val="es-ES_tradnl"/>
        </w:rPr>
        <w:t>En e</w:t>
      </w:r>
      <w:r w:rsidRPr="00BE20A7">
        <w:rPr>
          <w:sz w:val="24"/>
          <w:szCs w:val="24"/>
          <w:lang w:val="es-ES_tradnl"/>
        </w:rPr>
        <w:t xml:space="preserve">ste terreno los </w:t>
      </w:r>
      <w:r w:rsidR="005B249D">
        <w:rPr>
          <w:sz w:val="24"/>
          <w:szCs w:val="24"/>
          <w:lang w:val="es-ES_tradnl"/>
        </w:rPr>
        <w:t>c</w:t>
      </w:r>
      <w:r w:rsidRPr="00BE20A7">
        <w:rPr>
          <w:sz w:val="24"/>
          <w:szCs w:val="24"/>
          <w:lang w:val="es-ES_tradnl"/>
        </w:rPr>
        <w:t xml:space="preserve">entros </w:t>
      </w:r>
      <w:r w:rsidR="005B249D">
        <w:rPr>
          <w:sz w:val="24"/>
          <w:szCs w:val="24"/>
          <w:lang w:val="es-ES_tradnl"/>
        </w:rPr>
        <w:t>e</w:t>
      </w:r>
      <w:r w:rsidRPr="00BE20A7">
        <w:rPr>
          <w:sz w:val="24"/>
          <w:szCs w:val="24"/>
          <w:lang w:val="es-ES_tradnl"/>
        </w:rPr>
        <w:t xml:space="preserve">speciales de </w:t>
      </w:r>
      <w:r w:rsidR="005B249D">
        <w:rPr>
          <w:sz w:val="24"/>
          <w:szCs w:val="24"/>
          <w:lang w:val="es-ES_tradnl"/>
        </w:rPr>
        <w:t>e</w:t>
      </w:r>
      <w:r w:rsidRPr="00BE20A7">
        <w:rPr>
          <w:sz w:val="24"/>
          <w:szCs w:val="24"/>
          <w:lang w:val="es-ES_tradnl"/>
        </w:rPr>
        <w:t xml:space="preserve">mpleo </w:t>
      </w:r>
      <w:r w:rsidR="005B249D">
        <w:rPr>
          <w:sz w:val="24"/>
          <w:szCs w:val="24"/>
          <w:lang w:val="es-ES_tradnl"/>
        </w:rPr>
        <w:t>(</w:t>
      </w:r>
      <w:r w:rsidR="00263316">
        <w:rPr>
          <w:sz w:val="24"/>
          <w:szCs w:val="24"/>
          <w:lang w:val="es-ES_tradnl"/>
        </w:rPr>
        <w:t xml:space="preserve">CEEs) </w:t>
      </w:r>
      <w:r w:rsidR="00AA621B">
        <w:rPr>
          <w:sz w:val="24"/>
          <w:szCs w:val="24"/>
          <w:lang w:val="es-ES_tradnl"/>
        </w:rPr>
        <w:t>desempeñan</w:t>
      </w:r>
      <w:r w:rsidRPr="00BE20A7">
        <w:rPr>
          <w:sz w:val="24"/>
          <w:szCs w:val="24"/>
          <w:lang w:val="es-ES_tradnl"/>
        </w:rPr>
        <w:t xml:space="preserve"> un </w:t>
      </w:r>
      <w:r w:rsidR="00AA621B">
        <w:rPr>
          <w:sz w:val="24"/>
          <w:szCs w:val="24"/>
          <w:lang w:val="es-ES_tradnl"/>
        </w:rPr>
        <w:t>papel fundamental</w:t>
      </w:r>
      <w:r w:rsidRPr="00BE20A7">
        <w:rPr>
          <w:sz w:val="24"/>
          <w:szCs w:val="24"/>
          <w:lang w:val="es-ES_tradnl"/>
        </w:rPr>
        <w:t>.</w:t>
      </w:r>
    </w:p>
    <w:p w:rsidR="00BD14D3" w:rsidRPr="00BE20A7" w:rsidRDefault="00BD14D3" w:rsidP="00BD14D3">
      <w:pPr>
        <w:autoSpaceDE w:val="0"/>
        <w:autoSpaceDN w:val="0"/>
        <w:spacing w:line="360" w:lineRule="auto"/>
        <w:jc w:val="both"/>
        <w:rPr>
          <w:b/>
          <w:color w:val="000000" w:themeColor="text1"/>
          <w:sz w:val="28"/>
          <w:szCs w:val="28"/>
          <w:lang w:val="es-ES_tradnl"/>
        </w:rPr>
      </w:pPr>
    </w:p>
    <w:p w:rsidR="00BD14D3" w:rsidRPr="00BE20A7" w:rsidRDefault="00BD14D3" w:rsidP="00BD14D3">
      <w:pPr>
        <w:autoSpaceDE w:val="0"/>
        <w:autoSpaceDN w:val="0"/>
        <w:spacing w:line="360" w:lineRule="auto"/>
        <w:jc w:val="both"/>
        <w:rPr>
          <w:sz w:val="24"/>
          <w:szCs w:val="24"/>
          <w:lang w:val="es-ES_tradnl"/>
        </w:rPr>
      </w:pPr>
      <w:r w:rsidRPr="00BE20A7">
        <w:rPr>
          <w:sz w:val="24"/>
          <w:szCs w:val="24"/>
          <w:lang w:val="es-ES_tradnl"/>
        </w:rPr>
        <w:t xml:space="preserve">Los </w:t>
      </w:r>
      <w:r w:rsidR="005B249D">
        <w:rPr>
          <w:sz w:val="24"/>
          <w:szCs w:val="24"/>
          <w:lang w:val="es-ES_tradnl"/>
        </w:rPr>
        <w:t>centros especiales de empleo</w:t>
      </w:r>
      <w:r w:rsidRPr="00BE20A7">
        <w:rPr>
          <w:sz w:val="24"/>
          <w:szCs w:val="24"/>
          <w:lang w:val="es-ES_tradnl"/>
        </w:rPr>
        <w:t xml:space="preserve"> deben dar respuesta a un doble objetivo. </w:t>
      </w:r>
      <w:r w:rsidR="00AA621B">
        <w:rPr>
          <w:sz w:val="24"/>
          <w:szCs w:val="24"/>
          <w:lang w:val="es-ES_tradnl"/>
        </w:rPr>
        <w:t>Por</w:t>
      </w:r>
      <w:r w:rsidRPr="00BE20A7">
        <w:rPr>
          <w:sz w:val="24"/>
          <w:szCs w:val="24"/>
          <w:lang w:val="es-ES_tradnl"/>
        </w:rPr>
        <w:t xml:space="preserve"> un lado, </w:t>
      </w:r>
      <w:r w:rsidR="00084B6F">
        <w:rPr>
          <w:sz w:val="24"/>
          <w:szCs w:val="24"/>
          <w:lang w:val="es-ES_tradnl"/>
        </w:rPr>
        <w:t xml:space="preserve">son empresas convencionales que </w:t>
      </w:r>
      <w:r w:rsidRPr="00BE20A7">
        <w:rPr>
          <w:sz w:val="24"/>
          <w:szCs w:val="24"/>
          <w:lang w:val="es-ES_tradnl"/>
        </w:rPr>
        <w:t xml:space="preserve">deben ofrecer productos y servicios en un mercado libre y abierto y ser comercialmente exitosos. </w:t>
      </w:r>
      <w:r w:rsidR="00AA621B">
        <w:rPr>
          <w:sz w:val="24"/>
          <w:szCs w:val="24"/>
          <w:lang w:val="es-ES_tradnl"/>
        </w:rPr>
        <w:t>Por otro</w:t>
      </w:r>
      <w:r w:rsidRPr="00BE20A7">
        <w:rPr>
          <w:sz w:val="24"/>
          <w:szCs w:val="24"/>
          <w:lang w:val="es-ES_tradnl"/>
        </w:rPr>
        <w:t>, deben ofrecer oportunidades, desarrollar y mejorar la empleabilidad de las personas con discapacidad. No debemos olvidar que éste último objetivo de carácter social constituye su misión principal</w:t>
      </w:r>
      <w:r w:rsidR="00084B6F">
        <w:rPr>
          <w:sz w:val="24"/>
          <w:szCs w:val="24"/>
          <w:lang w:val="es-ES_tradnl"/>
        </w:rPr>
        <w:t xml:space="preserve"> y su principal aspecto diferenciador</w:t>
      </w:r>
      <w:r w:rsidRPr="00BE20A7">
        <w:rPr>
          <w:sz w:val="24"/>
          <w:szCs w:val="24"/>
          <w:lang w:val="es-ES_tradnl"/>
        </w:rPr>
        <w:t>.</w:t>
      </w:r>
    </w:p>
    <w:p w:rsidR="00BD14D3" w:rsidRPr="00BE20A7" w:rsidRDefault="00BD14D3" w:rsidP="00BD14D3">
      <w:pPr>
        <w:autoSpaceDE w:val="0"/>
        <w:autoSpaceDN w:val="0"/>
        <w:spacing w:line="360" w:lineRule="auto"/>
        <w:jc w:val="both"/>
        <w:rPr>
          <w:sz w:val="24"/>
          <w:szCs w:val="24"/>
          <w:lang w:val="es-ES_tradnl"/>
        </w:rPr>
      </w:pPr>
    </w:p>
    <w:p w:rsidR="00241F75" w:rsidRDefault="00BD14D3" w:rsidP="00BD14D3">
      <w:pPr>
        <w:autoSpaceDE w:val="0"/>
        <w:autoSpaceDN w:val="0"/>
        <w:spacing w:line="360" w:lineRule="auto"/>
        <w:jc w:val="both"/>
        <w:rPr>
          <w:sz w:val="24"/>
          <w:szCs w:val="24"/>
          <w:lang w:val="es-ES_tradnl"/>
        </w:rPr>
      </w:pPr>
      <w:r w:rsidRPr="00BE20A7">
        <w:rPr>
          <w:sz w:val="24"/>
          <w:szCs w:val="24"/>
          <w:lang w:val="es-ES_tradnl"/>
        </w:rPr>
        <w:t>La legislación no de</w:t>
      </w:r>
      <w:r w:rsidR="00EF6D7F">
        <w:rPr>
          <w:sz w:val="24"/>
          <w:szCs w:val="24"/>
          <w:lang w:val="es-ES_tradnl"/>
        </w:rPr>
        <w:t>ja lugar a dudas. El artículo 43</w:t>
      </w:r>
      <w:r w:rsidRPr="00BE20A7">
        <w:rPr>
          <w:sz w:val="24"/>
          <w:szCs w:val="24"/>
          <w:lang w:val="es-ES_tradnl"/>
        </w:rPr>
        <w:t xml:space="preserve"> </w:t>
      </w:r>
      <w:r w:rsidR="00EF6D7F">
        <w:rPr>
          <w:sz w:val="24"/>
          <w:szCs w:val="24"/>
          <w:lang w:val="es-ES_tradnl"/>
        </w:rPr>
        <w:t xml:space="preserve">del </w:t>
      </w:r>
      <w:r w:rsidR="00EF6D7F" w:rsidRPr="00EF6D7F">
        <w:rPr>
          <w:sz w:val="24"/>
          <w:szCs w:val="24"/>
          <w:lang w:val="es-ES_tradnl"/>
        </w:rPr>
        <w:t xml:space="preserve">Real Decreto Legislativo 1/2013, de 29 de noviembre, por el que se aprueba el Texto Refundido de la Ley General de derechos de las personas con discapacidad y de su inclusión social, </w:t>
      </w:r>
      <w:r w:rsidRPr="00BE20A7">
        <w:rPr>
          <w:sz w:val="24"/>
          <w:szCs w:val="24"/>
          <w:lang w:val="es-ES_tradnl"/>
        </w:rPr>
        <w:t xml:space="preserve">define el objetivo de los </w:t>
      </w:r>
      <w:r w:rsidR="005B249D">
        <w:rPr>
          <w:sz w:val="24"/>
          <w:szCs w:val="24"/>
          <w:lang w:val="es-ES_tradnl"/>
        </w:rPr>
        <w:t>centro</w:t>
      </w:r>
      <w:r w:rsidR="00263316">
        <w:rPr>
          <w:sz w:val="24"/>
          <w:szCs w:val="24"/>
          <w:lang w:val="es-ES_tradnl"/>
        </w:rPr>
        <w:t>s</w:t>
      </w:r>
      <w:r w:rsidR="005B249D">
        <w:rPr>
          <w:sz w:val="24"/>
          <w:szCs w:val="24"/>
          <w:lang w:val="es-ES_tradnl"/>
        </w:rPr>
        <w:t xml:space="preserve"> especiales de empleo</w:t>
      </w:r>
      <w:r w:rsidRPr="00BE20A7">
        <w:rPr>
          <w:sz w:val="24"/>
          <w:szCs w:val="24"/>
          <w:lang w:val="es-ES_tradnl"/>
        </w:rPr>
        <w:t xml:space="preserve"> como el de </w:t>
      </w:r>
      <w:r w:rsidR="00EF6D7F">
        <w:rPr>
          <w:sz w:val="24"/>
          <w:szCs w:val="24"/>
          <w:lang w:val="es-ES_tradnl"/>
        </w:rPr>
        <w:t>“</w:t>
      </w:r>
      <w:r w:rsidR="00EF6D7F" w:rsidRPr="00EF6D7F">
        <w:rPr>
          <w:sz w:val="24"/>
          <w:szCs w:val="24"/>
          <w:lang w:val="es-ES_tradnl"/>
        </w:rPr>
        <w:t xml:space="preserve">de realizar una actividad productiva de bienes o de servicios, participando regularmente en las operaciones del mercado, y tienen como finalidad el asegurar un empleo remunerado para las personas con discapacidad; a la vez que son un medio de inclusión del mayor número de estas personas en el régimen de empleo ordinario. Igualmente, los </w:t>
      </w:r>
      <w:r w:rsidR="005B249D">
        <w:rPr>
          <w:sz w:val="24"/>
          <w:szCs w:val="24"/>
          <w:lang w:val="es-ES_tradnl"/>
        </w:rPr>
        <w:t>centros especiales de empleo</w:t>
      </w:r>
      <w:r w:rsidR="00EF6D7F" w:rsidRPr="00EF6D7F">
        <w:rPr>
          <w:sz w:val="24"/>
          <w:szCs w:val="24"/>
          <w:lang w:val="es-ES_tradnl"/>
        </w:rPr>
        <w:t xml:space="preserve"> deberán prestar, a través de las unidades de apoyo, los servicios de ajuste personal y social que requieran las personas trabajadoras con discapacidad, según sus circunstancias y conforme a lo que se determine reglamentariamente.”</w:t>
      </w:r>
    </w:p>
    <w:p w:rsidR="001C1AB7" w:rsidRPr="00BE20A7" w:rsidRDefault="001C1AB7" w:rsidP="00BD14D3">
      <w:pPr>
        <w:autoSpaceDE w:val="0"/>
        <w:autoSpaceDN w:val="0"/>
        <w:spacing w:line="360" w:lineRule="auto"/>
        <w:jc w:val="both"/>
        <w:rPr>
          <w:sz w:val="24"/>
          <w:szCs w:val="24"/>
          <w:lang w:val="es-ES_tradnl"/>
        </w:rPr>
      </w:pPr>
    </w:p>
    <w:p w:rsidR="00BD14D3" w:rsidRDefault="00BD14D3" w:rsidP="00BD14D3">
      <w:pPr>
        <w:pStyle w:val="Ttulo2"/>
        <w:rPr>
          <w:lang w:val="es-ES_tradnl"/>
        </w:rPr>
      </w:pPr>
      <w:bookmarkStart w:id="6" w:name="_Toc397357140"/>
      <w:bookmarkStart w:id="7" w:name="_Toc410916858"/>
      <w:r>
        <w:rPr>
          <w:lang w:val="es-ES_tradnl"/>
        </w:rPr>
        <w:lastRenderedPageBreak/>
        <w:t>Acerca de este informe</w:t>
      </w:r>
      <w:bookmarkEnd w:id="6"/>
      <w:bookmarkEnd w:id="7"/>
    </w:p>
    <w:p w:rsidR="00BD14D3" w:rsidRDefault="00BD14D3" w:rsidP="00BD14D3">
      <w:pPr>
        <w:pStyle w:val="Textoindependiente"/>
        <w:rPr>
          <w:lang w:val="es-ES_tradnl"/>
        </w:rPr>
      </w:pPr>
    </w:p>
    <w:p w:rsidR="00C748FE" w:rsidRDefault="00C748FE" w:rsidP="00C748FE">
      <w:pPr>
        <w:spacing w:line="360" w:lineRule="auto"/>
        <w:jc w:val="both"/>
        <w:rPr>
          <w:rFonts w:ascii="MinionPro-Regular" w:hAnsi="MinionPro-Regular"/>
          <w:sz w:val="24"/>
          <w:szCs w:val="24"/>
        </w:rPr>
      </w:pPr>
      <w:r>
        <w:rPr>
          <w:rFonts w:ascii="MinionPro-Regular" w:hAnsi="MinionPro-Regular"/>
          <w:sz w:val="24"/>
          <w:szCs w:val="24"/>
        </w:rPr>
        <w:t>El presente</w:t>
      </w:r>
      <w:r w:rsidRPr="001B1A4D">
        <w:rPr>
          <w:rFonts w:ascii="MinionPro-Regular" w:hAnsi="MinionPro-Regular"/>
          <w:sz w:val="24"/>
          <w:szCs w:val="24"/>
        </w:rPr>
        <w:t xml:space="preserve"> estudio se ha realizado en el marco del protocolo de colaboración que firmaron, el 3 de diciembre de 2013, la Consejería de Economía y Empleo de la Junta de Castilla y León, la Fundación ONCE, FSC Inserta, Federación Empresarial Española de Asociaciones de Centros Especiales de Empleo (FEACEM) y la Asociación de Centros Especiales de Empleo de Iniciativa Social (FEACEM-Castilla y León) con el objetivo de impulsar la sostenibilidad y consolidación de los Centros Especiales de Empleo en Castilla y León</w:t>
      </w:r>
      <w:r>
        <w:rPr>
          <w:rFonts w:ascii="MinionPro-Regular" w:hAnsi="MinionPro-Regular"/>
          <w:sz w:val="24"/>
          <w:szCs w:val="24"/>
        </w:rPr>
        <w:t>.</w:t>
      </w:r>
    </w:p>
    <w:p w:rsidR="00C748FE" w:rsidRDefault="00C748FE" w:rsidP="00BD14D3">
      <w:pPr>
        <w:autoSpaceDE w:val="0"/>
        <w:autoSpaceDN w:val="0"/>
        <w:spacing w:line="360" w:lineRule="auto"/>
        <w:jc w:val="both"/>
        <w:rPr>
          <w:sz w:val="24"/>
          <w:szCs w:val="24"/>
        </w:rPr>
      </w:pPr>
    </w:p>
    <w:p w:rsidR="00BD14D3" w:rsidRDefault="00BD14D3" w:rsidP="00BD14D3">
      <w:pPr>
        <w:autoSpaceDE w:val="0"/>
        <w:autoSpaceDN w:val="0"/>
        <w:spacing w:line="360" w:lineRule="auto"/>
        <w:jc w:val="both"/>
        <w:rPr>
          <w:sz w:val="24"/>
          <w:szCs w:val="24"/>
          <w:lang w:val="es-ES_tradnl"/>
        </w:rPr>
      </w:pPr>
      <w:r w:rsidRPr="00BE20A7">
        <w:rPr>
          <w:sz w:val="24"/>
          <w:szCs w:val="24"/>
          <w:lang w:val="es-ES_tradnl"/>
        </w:rPr>
        <w:t>Es</w:t>
      </w:r>
      <w:r>
        <w:rPr>
          <w:sz w:val="24"/>
          <w:szCs w:val="24"/>
          <w:lang w:val="es-ES_tradnl"/>
        </w:rPr>
        <w:t xml:space="preserve">te informe tiene como propósito analizar las características de los </w:t>
      </w:r>
      <w:r w:rsidR="00263316">
        <w:rPr>
          <w:sz w:val="24"/>
          <w:szCs w:val="24"/>
          <w:lang w:val="es-ES_tradnl"/>
        </w:rPr>
        <w:t>CEEs</w:t>
      </w:r>
      <w:r>
        <w:rPr>
          <w:sz w:val="24"/>
          <w:szCs w:val="24"/>
          <w:lang w:val="es-ES_tradnl"/>
        </w:rPr>
        <w:t xml:space="preserve"> de Castilla y León desde el punto de vista de su posición financiera, del valor añadido actual y potencial de los sectores en los que trabajan y de su impacto en términos del cum</w:t>
      </w:r>
      <w:r w:rsidR="00241F75">
        <w:rPr>
          <w:sz w:val="24"/>
          <w:szCs w:val="24"/>
          <w:lang w:val="es-ES_tradnl"/>
        </w:rPr>
        <w:t>plimiento de su función social (</w:t>
      </w:r>
      <w:r>
        <w:rPr>
          <w:sz w:val="24"/>
          <w:szCs w:val="24"/>
          <w:lang w:val="es-ES_tradnl"/>
        </w:rPr>
        <w:t>mejorar el acceso a sus derechos de las personas con discapacidad</w:t>
      </w:r>
      <w:r w:rsidR="00241F75">
        <w:rPr>
          <w:sz w:val="24"/>
          <w:szCs w:val="24"/>
          <w:lang w:val="es-ES_tradnl"/>
        </w:rPr>
        <w:t>)</w:t>
      </w:r>
      <w:r>
        <w:rPr>
          <w:sz w:val="24"/>
          <w:szCs w:val="24"/>
          <w:lang w:val="es-ES_tradnl"/>
        </w:rPr>
        <w:t>.</w:t>
      </w:r>
    </w:p>
    <w:p w:rsidR="00BD14D3" w:rsidRDefault="00BD14D3" w:rsidP="00BD14D3">
      <w:pPr>
        <w:autoSpaceDE w:val="0"/>
        <w:autoSpaceDN w:val="0"/>
        <w:spacing w:line="360" w:lineRule="auto"/>
        <w:jc w:val="both"/>
        <w:rPr>
          <w:sz w:val="24"/>
          <w:szCs w:val="24"/>
          <w:lang w:val="es-ES_tradnl"/>
        </w:rPr>
      </w:pPr>
    </w:p>
    <w:p w:rsidR="009B5420" w:rsidRDefault="00BD14D3" w:rsidP="00BD14D3">
      <w:pPr>
        <w:autoSpaceDE w:val="0"/>
        <w:autoSpaceDN w:val="0"/>
        <w:spacing w:line="360" w:lineRule="auto"/>
        <w:jc w:val="both"/>
        <w:rPr>
          <w:sz w:val="24"/>
          <w:szCs w:val="24"/>
          <w:lang w:val="es-ES_tradnl"/>
        </w:rPr>
      </w:pPr>
      <w:r>
        <w:rPr>
          <w:sz w:val="24"/>
          <w:szCs w:val="24"/>
          <w:lang w:val="es-ES_tradnl"/>
        </w:rPr>
        <w:t>Para ello</w:t>
      </w:r>
      <w:r w:rsidR="00EB5A6C">
        <w:rPr>
          <w:sz w:val="24"/>
          <w:szCs w:val="24"/>
          <w:lang w:val="es-ES_tradnl"/>
        </w:rPr>
        <w:t xml:space="preserve">, y con el objetivo de </w:t>
      </w:r>
      <w:r w:rsidR="006A1FF1">
        <w:rPr>
          <w:sz w:val="24"/>
          <w:szCs w:val="24"/>
          <w:lang w:val="es-ES_tradnl"/>
        </w:rPr>
        <w:t>contribuir a la</w:t>
      </w:r>
      <w:r w:rsidR="00EB5A6C">
        <w:rPr>
          <w:sz w:val="24"/>
          <w:szCs w:val="24"/>
          <w:lang w:val="es-ES_tradnl"/>
        </w:rPr>
        <w:t xml:space="preserve"> consolidación del sector, s</w:t>
      </w:r>
      <w:r>
        <w:rPr>
          <w:sz w:val="24"/>
          <w:szCs w:val="24"/>
          <w:lang w:val="es-ES_tradnl"/>
        </w:rPr>
        <w:t xml:space="preserve">e ha desarrollado un análisis cuantitativo, en el que se ha aplicado a los </w:t>
      </w:r>
      <w:r w:rsidR="005B249D">
        <w:rPr>
          <w:sz w:val="24"/>
          <w:szCs w:val="24"/>
          <w:lang w:val="es-ES_tradnl"/>
        </w:rPr>
        <w:t xml:space="preserve">centros </w:t>
      </w:r>
      <w:r>
        <w:rPr>
          <w:sz w:val="24"/>
          <w:szCs w:val="24"/>
          <w:lang w:val="es-ES_tradnl"/>
        </w:rPr>
        <w:t xml:space="preserve">una metodología de análisis </w:t>
      </w:r>
      <w:r w:rsidR="009B5420">
        <w:rPr>
          <w:sz w:val="24"/>
          <w:szCs w:val="24"/>
          <w:lang w:val="es-ES_tradnl"/>
        </w:rPr>
        <w:t xml:space="preserve">que </w:t>
      </w:r>
      <w:r>
        <w:rPr>
          <w:sz w:val="24"/>
          <w:szCs w:val="24"/>
          <w:lang w:val="es-ES_tradnl"/>
        </w:rPr>
        <w:t>toma como base la información financiera y de impacto social disponible.</w:t>
      </w:r>
      <w:r w:rsidR="006A1FF1">
        <w:rPr>
          <w:sz w:val="24"/>
          <w:szCs w:val="24"/>
          <w:lang w:val="es-ES_tradnl"/>
        </w:rPr>
        <w:t xml:space="preserve"> La metodología aplicada ha sido</w:t>
      </w:r>
      <w:r w:rsidR="00084B6F">
        <w:rPr>
          <w:sz w:val="24"/>
          <w:szCs w:val="24"/>
          <w:lang w:val="es-ES_tradnl"/>
        </w:rPr>
        <w:t xml:space="preserve"> contrastada con</w:t>
      </w:r>
      <w:r w:rsidR="006A1FF1">
        <w:rPr>
          <w:sz w:val="24"/>
          <w:szCs w:val="24"/>
          <w:lang w:val="es-ES_tradnl"/>
        </w:rPr>
        <w:t xml:space="preserve"> expertos del sector. </w:t>
      </w:r>
    </w:p>
    <w:p w:rsidR="00974D42" w:rsidRDefault="00974D42" w:rsidP="00BD14D3">
      <w:pPr>
        <w:autoSpaceDE w:val="0"/>
        <w:autoSpaceDN w:val="0"/>
        <w:spacing w:line="360" w:lineRule="auto"/>
        <w:jc w:val="both"/>
        <w:rPr>
          <w:sz w:val="24"/>
          <w:szCs w:val="24"/>
          <w:lang w:val="es-ES_tradnl"/>
        </w:rPr>
      </w:pPr>
    </w:p>
    <w:p w:rsidR="00DE4444" w:rsidRDefault="00DE4444" w:rsidP="00BD14D3">
      <w:pPr>
        <w:autoSpaceDE w:val="0"/>
        <w:autoSpaceDN w:val="0"/>
        <w:spacing w:line="360" w:lineRule="auto"/>
        <w:jc w:val="both"/>
        <w:rPr>
          <w:sz w:val="24"/>
          <w:szCs w:val="24"/>
          <w:lang w:val="es-ES_tradnl"/>
        </w:rPr>
      </w:pPr>
      <w:r>
        <w:rPr>
          <w:sz w:val="24"/>
          <w:szCs w:val="24"/>
          <w:lang w:val="es-ES_tradnl"/>
        </w:rPr>
        <w:t xml:space="preserve">El número de centros analizados asciende a 169. Aunque en julio de 2014—fecha de elaboración del estudio—había </w:t>
      </w:r>
      <w:r w:rsidR="005B249D">
        <w:rPr>
          <w:sz w:val="24"/>
          <w:szCs w:val="24"/>
          <w:lang w:val="es-ES_tradnl"/>
        </w:rPr>
        <w:t>188 centros especiale</w:t>
      </w:r>
      <w:r>
        <w:rPr>
          <w:sz w:val="24"/>
          <w:szCs w:val="24"/>
          <w:lang w:val="es-ES_tradnl"/>
        </w:rPr>
        <w:t>s</w:t>
      </w:r>
      <w:r w:rsidR="005B249D">
        <w:rPr>
          <w:sz w:val="24"/>
          <w:szCs w:val="24"/>
          <w:lang w:val="es-ES_tradnl"/>
        </w:rPr>
        <w:t xml:space="preserve"> de empleo</w:t>
      </w:r>
      <w:r>
        <w:rPr>
          <w:sz w:val="24"/>
          <w:szCs w:val="24"/>
          <w:lang w:val="es-ES_tradnl"/>
        </w:rPr>
        <w:t xml:space="preserve"> en Castilla y León, 19 de ellos fueron excluidos del análisis cuantitativo por problemas con la información disponible. </w:t>
      </w:r>
      <w:r w:rsidR="00780D1B">
        <w:rPr>
          <w:sz w:val="24"/>
          <w:szCs w:val="24"/>
          <w:lang w:val="es-ES_tradnl"/>
        </w:rPr>
        <w:t>Los datos que se han analizado en la parte cuantitativa del estud</w:t>
      </w:r>
      <w:r w:rsidR="00E33BD4">
        <w:rPr>
          <w:sz w:val="24"/>
          <w:szCs w:val="24"/>
          <w:lang w:val="es-ES_tradnl"/>
        </w:rPr>
        <w:t>io co</w:t>
      </w:r>
      <w:r w:rsidR="00493C92">
        <w:rPr>
          <w:sz w:val="24"/>
          <w:szCs w:val="24"/>
          <w:lang w:val="es-ES_tradnl"/>
        </w:rPr>
        <w:t>rresponden a los años 2011, 2012</w:t>
      </w:r>
      <w:r w:rsidR="00E33BD4">
        <w:rPr>
          <w:sz w:val="24"/>
          <w:szCs w:val="24"/>
          <w:lang w:val="es-ES_tradnl"/>
        </w:rPr>
        <w:t xml:space="preserve"> y </w:t>
      </w:r>
      <w:r w:rsidR="00780D1B">
        <w:rPr>
          <w:sz w:val="24"/>
          <w:szCs w:val="24"/>
          <w:lang w:val="es-ES_tradnl"/>
        </w:rPr>
        <w:t>2013. Para los indicadores de evoluci</w:t>
      </w:r>
      <w:r w:rsidR="003A6CDB">
        <w:rPr>
          <w:sz w:val="24"/>
          <w:szCs w:val="24"/>
          <w:lang w:val="es-ES_tradnl"/>
        </w:rPr>
        <w:t>ón se ha medido</w:t>
      </w:r>
      <w:r w:rsidR="00780D1B">
        <w:rPr>
          <w:sz w:val="24"/>
          <w:szCs w:val="24"/>
          <w:lang w:val="es-ES_tradnl"/>
        </w:rPr>
        <w:t xml:space="preserve"> el desempeño </w:t>
      </w:r>
      <w:r w:rsidR="003A6CDB">
        <w:rPr>
          <w:sz w:val="24"/>
          <w:szCs w:val="24"/>
          <w:lang w:val="es-ES_tradnl"/>
        </w:rPr>
        <w:t xml:space="preserve">de los </w:t>
      </w:r>
      <w:r w:rsidR="005B249D">
        <w:rPr>
          <w:sz w:val="24"/>
          <w:szCs w:val="24"/>
          <w:lang w:val="es-ES_tradnl"/>
        </w:rPr>
        <w:t>centro</w:t>
      </w:r>
      <w:r w:rsidR="003A6CDB">
        <w:rPr>
          <w:sz w:val="24"/>
          <w:szCs w:val="24"/>
          <w:lang w:val="es-ES_tradnl"/>
        </w:rPr>
        <w:t xml:space="preserve">s </w:t>
      </w:r>
      <w:r w:rsidR="00780D1B">
        <w:rPr>
          <w:sz w:val="24"/>
          <w:szCs w:val="24"/>
          <w:lang w:val="es-ES_tradnl"/>
        </w:rPr>
        <w:t>en cada uno de los ámbitos entre los años de 2011 y 2013. Para los indicadores que miden el desempeño</w:t>
      </w:r>
      <w:r w:rsidR="005B249D">
        <w:rPr>
          <w:sz w:val="24"/>
          <w:szCs w:val="24"/>
          <w:lang w:val="es-ES_tradnl"/>
        </w:rPr>
        <w:t xml:space="preserve"> de los centro</w:t>
      </w:r>
      <w:r w:rsidR="00780D1B">
        <w:rPr>
          <w:sz w:val="24"/>
          <w:szCs w:val="24"/>
          <w:lang w:val="es-ES_tradnl"/>
        </w:rPr>
        <w:t>s en uno año específico, se han utilizado los datos de 2013 siempre que éstos estuvieran disponibles. En s</w:t>
      </w:r>
      <w:r w:rsidR="003A6CDB">
        <w:rPr>
          <w:sz w:val="24"/>
          <w:szCs w:val="24"/>
          <w:lang w:val="es-ES_tradnl"/>
        </w:rPr>
        <w:t>u defecto, se han utilizado dato</w:t>
      </w:r>
      <w:r w:rsidR="00780D1B">
        <w:rPr>
          <w:sz w:val="24"/>
          <w:szCs w:val="24"/>
          <w:lang w:val="es-ES_tradnl"/>
        </w:rPr>
        <w:t>s de 2012</w:t>
      </w:r>
      <w:r w:rsidR="003A6CDB">
        <w:rPr>
          <w:sz w:val="24"/>
          <w:szCs w:val="24"/>
          <w:lang w:val="es-ES_tradnl"/>
        </w:rPr>
        <w:t>.</w:t>
      </w:r>
    </w:p>
    <w:p w:rsidR="009B5420" w:rsidRDefault="009B5420" w:rsidP="00BD14D3">
      <w:pPr>
        <w:autoSpaceDE w:val="0"/>
        <w:autoSpaceDN w:val="0"/>
        <w:spacing w:line="360" w:lineRule="auto"/>
        <w:jc w:val="both"/>
        <w:rPr>
          <w:sz w:val="24"/>
          <w:szCs w:val="24"/>
          <w:lang w:val="es-ES_tradnl"/>
        </w:rPr>
      </w:pPr>
    </w:p>
    <w:p w:rsidR="00BD14D3" w:rsidRDefault="00CB62AE" w:rsidP="00BD14D3">
      <w:pPr>
        <w:autoSpaceDE w:val="0"/>
        <w:autoSpaceDN w:val="0"/>
        <w:spacing w:line="360" w:lineRule="auto"/>
        <w:jc w:val="both"/>
        <w:rPr>
          <w:sz w:val="24"/>
          <w:szCs w:val="24"/>
          <w:lang w:val="es-ES_tradnl"/>
        </w:rPr>
      </w:pPr>
      <w:r>
        <w:rPr>
          <w:sz w:val="24"/>
          <w:szCs w:val="24"/>
          <w:lang w:val="es-ES_tradnl"/>
        </w:rPr>
        <w:t>En</w:t>
      </w:r>
      <w:r w:rsidR="00B431E0">
        <w:rPr>
          <w:sz w:val="24"/>
          <w:szCs w:val="24"/>
          <w:lang w:val="es-ES_tradnl"/>
        </w:rPr>
        <w:t xml:space="preserve"> cada uno</w:t>
      </w:r>
      <w:r>
        <w:rPr>
          <w:sz w:val="24"/>
          <w:szCs w:val="24"/>
          <w:lang w:val="es-ES_tradnl"/>
        </w:rPr>
        <w:t xml:space="preserve"> de </w:t>
      </w:r>
      <w:r w:rsidR="00B431E0">
        <w:rPr>
          <w:sz w:val="24"/>
          <w:szCs w:val="24"/>
          <w:lang w:val="es-ES_tradnl"/>
        </w:rPr>
        <w:t>los tres ámbitos analizados</w:t>
      </w:r>
      <w:r>
        <w:rPr>
          <w:sz w:val="24"/>
          <w:szCs w:val="24"/>
          <w:lang w:val="es-ES_tradnl"/>
        </w:rPr>
        <w:t xml:space="preserve"> (posición financiera, posición competitiva e impacto social) se han utilizado indicadores que permiten </w:t>
      </w:r>
      <w:r w:rsidR="001C1AB7">
        <w:rPr>
          <w:sz w:val="24"/>
          <w:szCs w:val="24"/>
          <w:lang w:val="es-ES_tradnl"/>
        </w:rPr>
        <w:t>evaluar</w:t>
      </w:r>
      <w:r w:rsidR="00084B6F">
        <w:rPr>
          <w:sz w:val="24"/>
          <w:szCs w:val="24"/>
          <w:lang w:val="es-ES_tradnl"/>
        </w:rPr>
        <w:t xml:space="preserve"> </w:t>
      </w:r>
      <w:r>
        <w:rPr>
          <w:sz w:val="24"/>
          <w:szCs w:val="24"/>
          <w:lang w:val="es-ES_tradnl"/>
        </w:rPr>
        <w:t xml:space="preserve">el rendimiento empresarial de los </w:t>
      </w:r>
      <w:r w:rsidR="005B249D">
        <w:rPr>
          <w:sz w:val="24"/>
          <w:szCs w:val="24"/>
          <w:lang w:val="es-ES_tradnl"/>
        </w:rPr>
        <w:t>centros especiale</w:t>
      </w:r>
      <w:r w:rsidR="00A95742">
        <w:rPr>
          <w:sz w:val="24"/>
          <w:szCs w:val="24"/>
          <w:lang w:val="es-ES_tradnl"/>
        </w:rPr>
        <w:t>s</w:t>
      </w:r>
      <w:r w:rsidR="005B249D">
        <w:rPr>
          <w:sz w:val="24"/>
          <w:szCs w:val="24"/>
          <w:lang w:val="es-ES_tradnl"/>
        </w:rPr>
        <w:t xml:space="preserve"> de empleo</w:t>
      </w:r>
      <w:r>
        <w:rPr>
          <w:sz w:val="24"/>
          <w:szCs w:val="24"/>
          <w:lang w:val="es-ES_tradnl"/>
        </w:rPr>
        <w:t xml:space="preserve"> y su contribución a la sociedad. Los indicadores </w:t>
      </w:r>
      <w:r w:rsidR="00F768CF">
        <w:rPr>
          <w:sz w:val="24"/>
          <w:szCs w:val="24"/>
          <w:lang w:val="es-ES_tradnl"/>
        </w:rPr>
        <w:t>en materia financiera, tales como la solvencia, el endeud</w:t>
      </w:r>
      <w:r w:rsidR="00084B6F">
        <w:rPr>
          <w:sz w:val="24"/>
          <w:szCs w:val="24"/>
          <w:lang w:val="es-ES_tradnl"/>
        </w:rPr>
        <w:t>amiento o la rentabilidad, pretenden medir</w:t>
      </w:r>
      <w:r w:rsidR="00F768CF">
        <w:rPr>
          <w:sz w:val="24"/>
          <w:szCs w:val="24"/>
          <w:lang w:val="es-ES_tradnl"/>
        </w:rPr>
        <w:t xml:space="preserve"> la viabilidad del modelo de negocio de los </w:t>
      </w:r>
      <w:r w:rsidR="005B249D">
        <w:rPr>
          <w:sz w:val="24"/>
          <w:szCs w:val="24"/>
          <w:lang w:val="es-ES_tradnl"/>
        </w:rPr>
        <w:t>centro</w:t>
      </w:r>
      <w:r w:rsidR="00A95742">
        <w:rPr>
          <w:sz w:val="24"/>
          <w:szCs w:val="24"/>
          <w:lang w:val="es-ES_tradnl"/>
        </w:rPr>
        <w:t>s</w:t>
      </w:r>
      <w:r w:rsidR="00F768CF">
        <w:rPr>
          <w:sz w:val="24"/>
          <w:szCs w:val="24"/>
          <w:lang w:val="es-ES_tradnl"/>
        </w:rPr>
        <w:t xml:space="preserve">, esclareciendo conclusiones acerca de su salud, prudencia y solidez financiera, de </w:t>
      </w:r>
      <w:r w:rsidR="00B431E0">
        <w:rPr>
          <w:sz w:val="24"/>
          <w:szCs w:val="24"/>
          <w:lang w:val="es-ES_tradnl"/>
        </w:rPr>
        <w:t>la aceptación de su</w:t>
      </w:r>
      <w:r w:rsidR="00F768CF" w:rsidRPr="00BE20A7">
        <w:rPr>
          <w:sz w:val="24"/>
          <w:szCs w:val="24"/>
          <w:lang w:val="es-ES_tradnl"/>
        </w:rPr>
        <w:t xml:space="preserve">s productos y servicios </w:t>
      </w:r>
      <w:r w:rsidR="00B431E0">
        <w:rPr>
          <w:sz w:val="24"/>
          <w:szCs w:val="24"/>
          <w:lang w:val="es-ES_tradnl"/>
        </w:rPr>
        <w:t xml:space="preserve">en el mercado, y de su </w:t>
      </w:r>
      <w:r w:rsidR="00F768CF">
        <w:rPr>
          <w:sz w:val="24"/>
          <w:szCs w:val="24"/>
          <w:lang w:val="es-ES_tradnl"/>
        </w:rPr>
        <w:t>capacidad de adaptación. Los indicadores utilizados en el ámbito de la posición competitiva, como el potencial de generación de riqueza o el valor añadido bruto de los sect</w:t>
      </w:r>
      <w:r w:rsidR="00B431E0">
        <w:rPr>
          <w:sz w:val="24"/>
          <w:szCs w:val="24"/>
          <w:lang w:val="es-ES_tradnl"/>
        </w:rPr>
        <w:t xml:space="preserve">ores de actividad, aportan información acerca del posicionamiento de los </w:t>
      </w:r>
      <w:r w:rsidR="005B249D">
        <w:rPr>
          <w:sz w:val="24"/>
          <w:szCs w:val="24"/>
          <w:lang w:val="es-ES_tradnl"/>
        </w:rPr>
        <w:t>centro</w:t>
      </w:r>
      <w:r w:rsidR="00A95742">
        <w:rPr>
          <w:sz w:val="24"/>
          <w:szCs w:val="24"/>
          <w:lang w:val="es-ES_tradnl"/>
        </w:rPr>
        <w:t>s</w:t>
      </w:r>
      <w:r w:rsidR="00B431E0">
        <w:rPr>
          <w:sz w:val="24"/>
          <w:szCs w:val="24"/>
          <w:lang w:val="es-ES_tradnl"/>
        </w:rPr>
        <w:t xml:space="preserve"> en el mercado y señalan el grado de oport</w:t>
      </w:r>
      <w:r w:rsidR="00F10EFF">
        <w:rPr>
          <w:sz w:val="24"/>
          <w:szCs w:val="24"/>
          <w:lang w:val="es-ES_tradnl"/>
        </w:rPr>
        <w:t xml:space="preserve">unidad laboral que los </w:t>
      </w:r>
      <w:r w:rsidR="005B249D">
        <w:rPr>
          <w:sz w:val="24"/>
          <w:szCs w:val="24"/>
          <w:lang w:val="es-ES_tradnl"/>
        </w:rPr>
        <w:t>centro</w:t>
      </w:r>
      <w:r w:rsidR="00A95742">
        <w:rPr>
          <w:sz w:val="24"/>
          <w:szCs w:val="24"/>
          <w:lang w:val="es-ES_tradnl"/>
        </w:rPr>
        <w:t>s</w:t>
      </w:r>
      <w:r w:rsidR="00F10EFF">
        <w:rPr>
          <w:sz w:val="24"/>
          <w:szCs w:val="24"/>
          <w:lang w:val="es-ES_tradnl"/>
        </w:rPr>
        <w:t xml:space="preserve"> generan, y pueden generar en el futuro, para</w:t>
      </w:r>
      <w:r w:rsidR="00B431E0">
        <w:rPr>
          <w:sz w:val="24"/>
          <w:szCs w:val="24"/>
          <w:lang w:val="es-ES_tradnl"/>
        </w:rPr>
        <w:t xml:space="preserve"> las personas con discapacidad. Los indicadores en el área de impacto</w:t>
      </w:r>
      <w:r w:rsidR="00F10EFF">
        <w:rPr>
          <w:sz w:val="24"/>
          <w:szCs w:val="24"/>
          <w:lang w:val="es-ES_tradnl"/>
        </w:rPr>
        <w:t xml:space="preserve"> social recogen el valor </w:t>
      </w:r>
      <w:r w:rsidR="00B431E0">
        <w:rPr>
          <w:sz w:val="24"/>
          <w:szCs w:val="24"/>
          <w:lang w:val="es-ES_tradnl"/>
        </w:rPr>
        <w:t xml:space="preserve">que generan los </w:t>
      </w:r>
      <w:r w:rsidR="005B249D">
        <w:rPr>
          <w:sz w:val="24"/>
          <w:szCs w:val="24"/>
          <w:lang w:val="es-ES_tradnl"/>
        </w:rPr>
        <w:t>centro</w:t>
      </w:r>
      <w:r w:rsidR="00A95742">
        <w:rPr>
          <w:sz w:val="24"/>
          <w:szCs w:val="24"/>
          <w:lang w:val="es-ES_tradnl"/>
        </w:rPr>
        <w:t>s</w:t>
      </w:r>
      <w:r w:rsidR="00B431E0">
        <w:rPr>
          <w:sz w:val="24"/>
          <w:szCs w:val="24"/>
          <w:lang w:val="es-ES_tradnl"/>
        </w:rPr>
        <w:t xml:space="preserve"> en lo que se refiere a la integración de personas con discapacidad </w:t>
      </w:r>
      <w:r w:rsidR="0043430A">
        <w:rPr>
          <w:sz w:val="24"/>
          <w:szCs w:val="24"/>
          <w:lang w:val="es-ES_tradnl"/>
        </w:rPr>
        <w:t xml:space="preserve">y en especial de personas con discapacidad con especiales dificultades </w:t>
      </w:r>
      <w:r w:rsidR="00B431E0">
        <w:rPr>
          <w:sz w:val="24"/>
          <w:szCs w:val="24"/>
          <w:lang w:val="es-ES_tradnl"/>
        </w:rPr>
        <w:t xml:space="preserve">al pleno ejercicio de sus derechos. </w:t>
      </w:r>
    </w:p>
    <w:p w:rsidR="00F768CF" w:rsidRDefault="00F768CF" w:rsidP="00BD14D3">
      <w:pPr>
        <w:autoSpaceDE w:val="0"/>
        <w:autoSpaceDN w:val="0"/>
        <w:spacing w:line="360" w:lineRule="auto"/>
        <w:jc w:val="both"/>
        <w:rPr>
          <w:sz w:val="24"/>
          <w:szCs w:val="24"/>
          <w:lang w:val="es-ES_tradnl"/>
        </w:rPr>
      </w:pPr>
    </w:p>
    <w:p w:rsidR="00F768CF" w:rsidRPr="00F768CF" w:rsidRDefault="00674856" w:rsidP="00BD14D3">
      <w:pPr>
        <w:autoSpaceDE w:val="0"/>
        <w:autoSpaceDN w:val="0"/>
        <w:spacing w:line="360" w:lineRule="auto"/>
        <w:jc w:val="both"/>
        <w:rPr>
          <w:sz w:val="24"/>
          <w:szCs w:val="24"/>
          <w:lang w:val="es-ES_tradnl"/>
        </w:rPr>
      </w:pPr>
      <w:r>
        <w:rPr>
          <w:sz w:val="24"/>
          <w:szCs w:val="24"/>
          <w:lang w:val="es-ES_tradnl"/>
        </w:rPr>
        <w:t>El análisis</w:t>
      </w:r>
      <w:r w:rsidR="00F768CF">
        <w:rPr>
          <w:sz w:val="24"/>
          <w:szCs w:val="24"/>
          <w:lang w:val="es-ES_tradnl"/>
        </w:rPr>
        <w:t xml:space="preserve"> cuantita</w:t>
      </w:r>
      <w:r>
        <w:rPr>
          <w:sz w:val="24"/>
          <w:szCs w:val="24"/>
          <w:lang w:val="es-ES_tradnl"/>
        </w:rPr>
        <w:t>t</w:t>
      </w:r>
      <w:r w:rsidR="00F768CF">
        <w:rPr>
          <w:sz w:val="24"/>
          <w:szCs w:val="24"/>
          <w:lang w:val="es-ES_tradnl"/>
        </w:rPr>
        <w:t>ivo llevado a cabo permite, por lo tanto, o</w:t>
      </w:r>
      <w:r>
        <w:rPr>
          <w:sz w:val="24"/>
          <w:szCs w:val="24"/>
          <w:lang w:val="es-ES_tradnl"/>
        </w:rPr>
        <w:t xml:space="preserve">bservar las características que presentan </w:t>
      </w:r>
      <w:r w:rsidR="00F768CF">
        <w:rPr>
          <w:sz w:val="24"/>
          <w:szCs w:val="24"/>
          <w:lang w:val="es-ES_tradnl"/>
        </w:rPr>
        <w:t xml:space="preserve">los </w:t>
      </w:r>
      <w:r w:rsidR="006172DF">
        <w:rPr>
          <w:sz w:val="24"/>
          <w:szCs w:val="24"/>
          <w:lang w:val="es-ES_tradnl"/>
        </w:rPr>
        <w:t>centro</w:t>
      </w:r>
      <w:r w:rsidR="00263316">
        <w:rPr>
          <w:sz w:val="24"/>
          <w:szCs w:val="24"/>
          <w:lang w:val="es-ES_tradnl"/>
        </w:rPr>
        <w:t>s</w:t>
      </w:r>
      <w:r w:rsidR="006172DF">
        <w:rPr>
          <w:sz w:val="24"/>
          <w:szCs w:val="24"/>
          <w:lang w:val="es-ES_tradnl"/>
        </w:rPr>
        <w:t xml:space="preserve"> especiales de empleo</w:t>
      </w:r>
      <w:r w:rsidR="00F768CF">
        <w:rPr>
          <w:sz w:val="24"/>
          <w:szCs w:val="24"/>
          <w:lang w:val="es-ES_tradnl"/>
        </w:rPr>
        <w:t xml:space="preserve"> así como encontrar áreas de mejora </w:t>
      </w:r>
      <w:r>
        <w:rPr>
          <w:sz w:val="24"/>
          <w:szCs w:val="24"/>
          <w:lang w:val="es-ES_tradnl"/>
        </w:rPr>
        <w:t xml:space="preserve">para potenciar </w:t>
      </w:r>
      <w:r w:rsidR="00241F75">
        <w:rPr>
          <w:sz w:val="24"/>
          <w:szCs w:val="24"/>
          <w:lang w:val="es-ES_tradnl"/>
        </w:rPr>
        <w:t>el cumplimiento de su razón de ser</w:t>
      </w:r>
      <w:r>
        <w:rPr>
          <w:sz w:val="24"/>
          <w:szCs w:val="24"/>
          <w:lang w:val="es-ES_tradnl"/>
        </w:rPr>
        <w:t xml:space="preserve"> en la sociedad.  </w:t>
      </w:r>
    </w:p>
    <w:p w:rsidR="00BD14D3" w:rsidRDefault="00BD14D3" w:rsidP="00BD14D3">
      <w:pPr>
        <w:autoSpaceDE w:val="0"/>
        <w:autoSpaceDN w:val="0"/>
        <w:spacing w:line="360" w:lineRule="auto"/>
        <w:jc w:val="both"/>
        <w:rPr>
          <w:color w:val="FF0000"/>
          <w:sz w:val="24"/>
          <w:szCs w:val="24"/>
          <w:lang w:val="es-ES_tradnl"/>
        </w:rPr>
      </w:pPr>
    </w:p>
    <w:p w:rsidR="00BD14D3" w:rsidRDefault="00BD14D3" w:rsidP="00BD14D3">
      <w:pPr>
        <w:autoSpaceDE w:val="0"/>
        <w:autoSpaceDN w:val="0"/>
        <w:spacing w:line="360" w:lineRule="auto"/>
        <w:jc w:val="both"/>
        <w:rPr>
          <w:sz w:val="24"/>
          <w:szCs w:val="24"/>
          <w:lang w:val="es-ES_tradnl"/>
        </w:rPr>
      </w:pPr>
      <w:r w:rsidRPr="00CE2D06">
        <w:rPr>
          <w:sz w:val="24"/>
          <w:szCs w:val="24"/>
          <w:lang w:val="es-ES_tradnl"/>
        </w:rPr>
        <w:t xml:space="preserve">El análisis cuantitativo </w:t>
      </w:r>
      <w:r>
        <w:rPr>
          <w:sz w:val="24"/>
          <w:szCs w:val="24"/>
          <w:lang w:val="es-ES_tradnl"/>
        </w:rPr>
        <w:t xml:space="preserve">se ha completado con una consulta a los propios </w:t>
      </w:r>
      <w:r w:rsidR="00E33BD4">
        <w:rPr>
          <w:sz w:val="24"/>
          <w:szCs w:val="24"/>
          <w:lang w:val="es-ES_tradnl"/>
        </w:rPr>
        <w:t>centro</w:t>
      </w:r>
      <w:r w:rsidR="00A95742">
        <w:rPr>
          <w:sz w:val="24"/>
          <w:szCs w:val="24"/>
          <w:lang w:val="es-ES_tradnl"/>
        </w:rPr>
        <w:t>s</w:t>
      </w:r>
      <w:r>
        <w:rPr>
          <w:sz w:val="24"/>
          <w:szCs w:val="24"/>
          <w:lang w:val="es-ES_tradnl"/>
        </w:rPr>
        <w:t xml:space="preserve"> para tratar de entender las externalidades que los </w:t>
      </w:r>
      <w:r w:rsidR="006172DF">
        <w:rPr>
          <w:sz w:val="24"/>
          <w:szCs w:val="24"/>
          <w:lang w:val="es-ES_tradnl"/>
        </w:rPr>
        <w:t>centro</w:t>
      </w:r>
      <w:r w:rsidR="00A95742">
        <w:rPr>
          <w:sz w:val="24"/>
          <w:szCs w:val="24"/>
          <w:lang w:val="es-ES_tradnl"/>
        </w:rPr>
        <w:t>s</w:t>
      </w:r>
      <w:r>
        <w:rPr>
          <w:sz w:val="24"/>
          <w:szCs w:val="24"/>
          <w:lang w:val="es-ES_tradnl"/>
        </w:rPr>
        <w:t xml:space="preserve"> generan, en términos de bienestar para las personas con discapacidad, para sus familias y para</w:t>
      </w:r>
      <w:r w:rsidR="007253D2">
        <w:rPr>
          <w:sz w:val="24"/>
          <w:szCs w:val="24"/>
          <w:lang w:val="es-ES_tradnl"/>
        </w:rPr>
        <w:t xml:space="preserve"> el conjunto de la sociedad</w:t>
      </w:r>
      <w:r w:rsidR="00E33BD4">
        <w:rPr>
          <w:sz w:val="24"/>
          <w:szCs w:val="24"/>
          <w:lang w:val="es-ES_tradnl"/>
        </w:rPr>
        <w:t>, y</w:t>
      </w:r>
      <w:r w:rsidR="007253D2">
        <w:rPr>
          <w:sz w:val="24"/>
          <w:szCs w:val="24"/>
          <w:lang w:val="es-ES_tradnl"/>
        </w:rPr>
        <w:t xml:space="preserve"> que </w:t>
      </w:r>
      <w:r>
        <w:rPr>
          <w:sz w:val="24"/>
          <w:szCs w:val="24"/>
          <w:lang w:val="es-ES_tradnl"/>
        </w:rPr>
        <w:t>por su propia naturaleza no pueden ser analizad</w:t>
      </w:r>
      <w:r w:rsidR="00E33BD4">
        <w:rPr>
          <w:sz w:val="24"/>
          <w:szCs w:val="24"/>
          <w:lang w:val="es-ES_tradnl"/>
        </w:rPr>
        <w:t>a</w:t>
      </w:r>
      <w:r>
        <w:rPr>
          <w:sz w:val="24"/>
          <w:szCs w:val="24"/>
          <w:lang w:val="es-ES_tradnl"/>
        </w:rPr>
        <w:t xml:space="preserve">s desde un punto de vista cuantitativo. </w:t>
      </w:r>
    </w:p>
    <w:p w:rsidR="00BD14D3" w:rsidRDefault="00BD14D3" w:rsidP="00BD14D3">
      <w:pPr>
        <w:autoSpaceDE w:val="0"/>
        <w:autoSpaceDN w:val="0"/>
        <w:spacing w:line="360" w:lineRule="auto"/>
        <w:jc w:val="both"/>
        <w:rPr>
          <w:sz w:val="24"/>
          <w:szCs w:val="24"/>
          <w:lang w:val="es-ES_tradnl"/>
        </w:rPr>
      </w:pPr>
    </w:p>
    <w:p w:rsidR="00DE4444" w:rsidRPr="00842404" w:rsidRDefault="007253D2" w:rsidP="00842404">
      <w:pPr>
        <w:autoSpaceDE w:val="0"/>
        <w:autoSpaceDN w:val="0"/>
        <w:spacing w:line="360" w:lineRule="auto"/>
        <w:jc w:val="both"/>
        <w:rPr>
          <w:sz w:val="24"/>
          <w:szCs w:val="24"/>
          <w:lang w:val="es-ES_tradnl"/>
        </w:rPr>
      </w:pPr>
      <w:r>
        <w:rPr>
          <w:sz w:val="24"/>
          <w:szCs w:val="24"/>
          <w:lang w:val="es-ES_tradnl"/>
        </w:rPr>
        <w:t xml:space="preserve">La encuesta </w:t>
      </w:r>
      <w:r w:rsidR="001F5D85">
        <w:rPr>
          <w:sz w:val="24"/>
          <w:szCs w:val="24"/>
          <w:lang w:val="es-ES_tradnl"/>
        </w:rPr>
        <w:t xml:space="preserve">se ha enviado a los </w:t>
      </w:r>
      <w:r w:rsidR="004F0F4D">
        <w:rPr>
          <w:sz w:val="24"/>
          <w:szCs w:val="24"/>
          <w:lang w:val="es-ES_tradnl"/>
        </w:rPr>
        <w:t>188</w:t>
      </w:r>
      <w:r w:rsidR="001F5D85">
        <w:rPr>
          <w:sz w:val="24"/>
          <w:szCs w:val="24"/>
          <w:lang w:val="es-ES_tradnl"/>
        </w:rPr>
        <w:t xml:space="preserve"> </w:t>
      </w:r>
      <w:r w:rsidR="006172DF">
        <w:rPr>
          <w:sz w:val="24"/>
          <w:szCs w:val="24"/>
          <w:lang w:val="es-ES_tradnl"/>
        </w:rPr>
        <w:t>centros especiales de empleo</w:t>
      </w:r>
      <w:r w:rsidR="001F5D85">
        <w:rPr>
          <w:sz w:val="24"/>
          <w:szCs w:val="24"/>
          <w:lang w:val="es-ES_tradnl"/>
        </w:rPr>
        <w:t xml:space="preserve"> </w:t>
      </w:r>
      <w:r w:rsidR="00F7450E">
        <w:rPr>
          <w:sz w:val="24"/>
          <w:szCs w:val="24"/>
          <w:lang w:val="es-ES_tradnl"/>
        </w:rPr>
        <w:t xml:space="preserve">existentes en Castilla y León en julio de 2014. </w:t>
      </w:r>
      <w:r w:rsidR="00DE4444" w:rsidRPr="00842404">
        <w:rPr>
          <w:sz w:val="24"/>
          <w:szCs w:val="24"/>
          <w:lang w:val="es-ES_tradnl"/>
        </w:rPr>
        <w:t xml:space="preserve">Aunque algunos de </w:t>
      </w:r>
      <w:r w:rsidR="006172DF">
        <w:rPr>
          <w:sz w:val="24"/>
          <w:szCs w:val="24"/>
          <w:lang w:val="es-ES_tradnl"/>
        </w:rPr>
        <w:t>los centro</w:t>
      </w:r>
      <w:r w:rsidR="00DE4444" w:rsidRPr="00842404">
        <w:rPr>
          <w:sz w:val="24"/>
          <w:szCs w:val="24"/>
          <w:lang w:val="es-ES_tradnl"/>
        </w:rPr>
        <w:t xml:space="preserve">s han sido excluidos del análisis cuantitativo por problemas con la información disponible, se ha considerado que las </w:t>
      </w:r>
      <w:r w:rsidR="00DE4444" w:rsidRPr="00842404">
        <w:rPr>
          <w:sz w:val="24"/>
          <w:szCs w:val="24"/>
          <w:lang w:val="es-ES_tradnl"/>
        </w:rPr>
        <w:lastRenderedPageBreak/>
        <w:t xml:space="preserve">opiniones de los gestores de esos centros </w:t>
      </w:r>
      <w:r w:rsidR="00F7450E">
        <w:rPr>
          <w:sz w:val="24"/>
          <w:szCs w:val="24"/>
          <w:lang w:val="es-ES_tradnl"/>
        </w:rPr>
        <w:t>son</w:t>
      </w:r>
      <w:r w:rsidR="00DE4444" w:rsidRPr="00842404">
        <w:rPr>
          <w:sz w:val="24"/>
          <w:szCs w:val="24"/>
          <w:lang w:val="es-ES_tradnl"/>
        </w:rPr>
        <w:t xml:space="preserve"> igual de v</w:t>
      </w:r>
      <w:r w:rsidR="00F7450E">
        <w:rPr>
          <w:sz w:val="24"/>
          <w:szCs w:val="24"/>
          <w:lang w:val="es-ES_tradnl"/>
        </w:rPr>
        <w:t>álidas y que por tanto deben</w:t>
      </w:r>
      <w:r w:rsidR="00DE4444" w:rsidRPr="00842404">
        <w:rPr>
          <w:sz w:val="24"/>
          <w:szCs w:val="24"/>
          <w:lang w:val="es-ES_tradnl"/>
        </w:rPr>
        <w:t xml:space="preserve"> ser tenidas en cuenta a través de la encuesta de impacto cualitativo.</w:t>
      </w:r>
    </w:p>
    <w:p w:rsidR="00DE4444" w:rsidRDefault="00DE4444" w:rsidP="00BD14D3">
      <w:pPr>
        <w:autoSpaceDE w:val="0"/>
        <w:autoSpaceDN w:val="0"/>
        <w:spacing w:line="360" w:lineRule="auto"/>
        <w:jc w:val="both"/>
        <w:rPr>
          <w:sz w:val="24"/>
          <w:szCs w:val="24"/>
          <w:lang w:val="es-ES_tradnl"/>
        </w:rPr>
      </w:pPr>
    </w:p>
    <w:p w:rsidR="007253D2" w:rsidRDefault="00084B6F" w:rsidP="00BD14D3">
      <w:pPr>
        <w:autoSpaceDE w:val="0"/>
        <w:autoSpaceDN w:val="0"/>
        <w:spacing w:line="360" w:lineRule="auto"/>
        <w:jc w:val="both"/>
        <w:rPr>
          <w:sz w:val="24"/>
          <w:szCs w:val="24"/>
          <w:lang w:val="es-ES_tradnl"/>
        </w:rPr>
      </w:pPr>
      <w:r>
        <w:rPr>
          <w:sz w:val="24"/>
          <w:szCs w:val="24"/>
          <w:lang w:val="es-ES_tradnl"/>
        </w:rPr>
        <w:t xml:space="preserve">Contestaron a la consulta </w:t>
      </w:r>
      <w:r w:rsidR="00DE4444">
        <w:rPr>
          <w:sz w:val="24"/>
          <w:szCs w:val="24"/>
          <w:lang w:val="es-ES_tradnl"/>
        </w:rPr>
        <w:t xml:space="preserve">140 de los 188 centros a los que se </w:t>
      </w:r>
      <w:r>
        <w:rPr>
          <w:sz w:val="24"/>
          <w:szCs w:val="24"/>
          <w:lang w:val="es-ES_tradnl"/>
        </w:rPr>
        <w:t xml:space="preserve">les </w:t>
      </w:r>
      <w:r w:rsidR="00DE4444">
        <w:rPr>
          <w:sz w:val="24"/>
          <w:szCs w:val="24"/>
          <w:lang w:val="es-ES_tradnl"/>
        </w:rPr>
        <w:t>envió</w:t>
      </w:r>
      <w:r w:rsidR="00F7450E">
        <w:rPr>
          <w:sz w:val="24"/>
          <w:szCs w:val="24"/>
          <w:lang w:val="es-ES_tradnl"/>
        </w:rPr>
        <w:t xml:space="preserve">. </w:t>
      </w:r>
      <w:r w:rsidR="00DE4444">
        <w:rPr>
          <w:sz w:val="24"/>
          <w:szCs w:val="24"/>
          <w:lang w:val="es-ES_tradnl"/>
        </w:rPr>
        <w:t xml:space="preserve">121 </w:t>
      </w:r>
      <w:r>
        <w:rPr>
          <w:sz w:val="24"/>
          <w:szCs w:val="24"/>
          <w:lang w:val="es-ES_tradnl"/>
        </w:rPr>
        <w:t>respondieron</w:t>
      </w:r>
      <w:r w:rsidR="00DE4444">
        <w:rPr>
          <w:sz w:val="24"/>
          <w:szCs w:val="24"/>
          <w:lang w:val="es-ES_tradnl"/>
        </w:rPr>
        <w:t xml:space="preserve"> a todas las preguntas formuladas.</w:t>
      </w:r>
      <w:r w:rsidR="00F7450E">
        <w:rPr>
          <w:sz w:val="24"/>
          <w:szCs w:val="24"/>
          <w:lang w:val="es-ES_tradnl"/>
        </w:rPr>
        <w:t xml:space="preserve"> </w:t>
      </w:r>
      <w:r w:rsidR="009B5420">
        <w:rPr>
          <w:sz w:val="24"/>
          <w:szCs w:val="24"/>
          <w:lang w:val="es-ES_tradnl"/>
        </w:rPr>
        <w:t xml:space="preserve">La encuesta captura, de manera cualitativa, el valor añadido social de los </w:t>
      </w:r>
      <w:r w:rsidR="006172DF">
        <w:rPr>
          <w:sz w:val="24"/>
          <w:szCs w:val="24"/>
          <w:lang w:val="es-ES_tradnl"/>
        </w:rPr>
        <w:t>centro</w:t>
      </w:r>
      <w:r w:rsidR="00A95742">
        <w:rPr>
          <w:sz w:val="24"/>
          <w:szCs w:val="24"/>
          <w:lang w:val="es-ES_tradnl"/>
        </w:rPr>
        <w:t>s</w:t>
      </w:r>
      <w:r w:rsidR="006172DF">
        <w:rPr>
          <w:sz w:val="24"/>
          <w:szCs w:val="24"/>
          <w:lang w:val="es-ES_tradnl"/>
        </w:rPr>
        <w:t xml:space="preserve"> especiales de empleo</w:t>
      </w:r>
      <w:r w:rsidR="009B5420">
        <w:rPr>
          <w:sz w:val="24"/>
          <w:szCs w:val="24"/>
          <w:lang w:val="es-ES_tradnl"/>
        </w:rPr>
        <w:t xml:space="preserve"> en tres ámbitos: la calidad de vida de las personas con discapacidad, los efectos de su empleo en el ámbito familiar y la inclusión de las personas c</w:t>
      </w:r>
      <w:r w:rsidR="006A1FF1">
        <w:rPr>
          <w:sz w:val="24"/>
          <w:szCs w:val="24"/>
          <w:lang w:val="es-ES_tradnl"/>
        </w:rPr>
        <w:t>on discapacidad en la sociedad</w:t>
      </w:r>
      <w:r w:rsidR="00C844B1">
        <w:rPr>
          <w:sz w:val="24"/>
          <w:szCs w:val="24"/>
          <w:lang w:val="es-ES_tradnl"/>
        </w:rPr>
        <w:t>. En cada una de las tres dimensiones, s</w:t>
      </w:r>
      <w:r w:rsidR="009B5420">
        <w:rPr>
          <w:sz w:val="24"/>
          <w:szCs w:val="24"/>
          <w:lang w:val="es-ES_tradnl"/>
        </w:rPr>
        <w:t xml:space="preserve">e han </w:t>
      </w:r>
      <w:r w:rsidR="00C844B1">
        <w:rPr>
          <w:sz w:val="24"/>
          <w:szCs w:val="24"/>
          <w:lang w:val="es-ES_tradnl"/>
        </w:rPr>
        <w:t>utilizado</w:t>
      </w:r>
      <w:r w:rsidR="009B5420">
        <w:rPr>
          <w:sz w:val="24"/>
          <w:szCs w:val="24"/>
          <w:lang w:val="es-ES_tradnl"/>
        </w:rPr>
        <w:t xml:space="preserve"> indicadores </w:t>
      </w:r>
      <w:r w:rsidR="00C844B1">
        <w:rPr>
          <w:sz w:val="24"/>
          <w:szCs w:val="24"/>
          <w:lang w:val="es-ES_tradnl"/>
        </w:rPr>
        <w:t>que permiten establecer</w:t>
      </w:r>
      <w:r>
        <w:rPr>
          <w:sz w:val="24"/>
          <w:szCs w:val="24"/>
          <w:lang w:val="es-ES_tradnl"/>
        </w:rPr>
        <w:t xml:space="preserve"> </w:t>
      </w:r>
      <w:r w:rsidR="00C844B1">
        <w:rPr>
          <w:sz w:val="24"/>
          <w:szCs w:val="24"/>
          <w:lang w:val="es-ES_tradnl"/>
        </w:rPr>
        <w:t>tende</w:t>
      </w:r>
      <w:r w:rsidR="001C1AB7">
        <w:rPr>
          <w:sz w:val="24"/>
          <w:szCs w:val="24"/>
          <w:lang w:val="es-ES_tradnl"/>
        </w:rPr>
        <w:t xml:space="preserve">ncias y conclusiones acerca de </w:t>
      </w:r>
      <w:r w:rsidR="00C844B1">
        <w:rPr>
          <w:sz w:val="24"/>
          <w:szCs w:val="24"/>
          <w:lang w:val="es-ES_tradnl"/>
        </w:rPr>
        <w:t xml:space="preserve">los resultados sociales obtenidos por los </w:t>
      </w:r>
      <w:r w:rsidR="006172DF">
        <w:rPr>
          <w:sz w:val="24"/>
          <w:szCs w:val="24"/>
          <w:lang w:val="es-ES_tradnl"/>
        </w:rPr>
        <w:t>centro</w:t>
      </w:r>
      <w:r w:rsidR="00A95742">
        <w:rPr>
          <w:sz w:val="24"/>
          <w:szCs w:val="24"/>
          <w:lang w:val="es-ES_tradnl"/>
        </w:rPr>
        <w:t>s</w:t>
      </w:r>
      <w:r w:rsidR="00C844B1">
        <w:rPr>
          <w:sz w:val="24"/>
          <w:szCs w:val="24"/>
          <w:lang w:val="es-ES_tradnl"/>
        </w:rPr>
        <w:t xml:space="preserve"> a través de</w:t>
      </w:r>
      <w:r w:rsidR="006172DF">
        <w:rPr>
          <w:sz w:val="24"/>
          <w:szCs w:val="24"/>
          <w:lang w:val="es-ES_tradnl"/>
        </w:rPr>
        <w:t xml:space="preserve"> su</w:t>
      </w:r>
      <w:r w:rsidR="00C844B1">
        <w:rPr>
          <w:sz w:val="24"/>
          <w:szCs w:val="24"/>
          <w:lang w:val="es-ES_tradnl"/>
        </w:rPr>
        <w:t xml:space="preserve"> </w:t>
      </w:r>
      <w:r w:rsidR="001C1AB7">
        <w:rPr>
          <w:sz w:val="24"/>
          <w:szCs w:val="24"/>
          <w:lang w:val="es-ES_tradnl"/>
        </w:rPr>
        <w:t>actividad</w:t>
      </w:r>
      <w:r w:rsidR="00C844B1">
        <w:rPr>
          <w:sz w:val="24"/>
          <w:szCs w:val="24"/>
          <w:lang w:val="es-ES_tradnl"/>
        </w:rPr>
        <w:t xml:space="preserve">. </w:t>
      </w:r>
      <w:r w:rsidR="006A1FF1">
        <w:rPr>
          <w:sz w:val="24"/>
          <w:szCs w:val="24"/>
          <w:lang w:val="es-ES_tradnl"/>
        </w:rPr>
        <w:t xml:space="preserve">La encuesta realizada también permite ver las oportunidades de mejora que presentan los </w:t>
      </w:r>
      <w:r w:rsidR="006172DF">
        <w:rPr>
          <w:sz w:val="24"/>
          <w:szCs w:val="24"/>
          <w:lang w:val="es-ES_tradnl"/>
        </w:rPr>
        <w:t>centros</w:t>
      </w:r>
      <w:r w:rsidR="006A1FF1">
        <w:rPr>
          <w:sz w:val="24"/>
          <w:szCs w:val="24"/>
          <w:lang w:val="es-ES_tradnl"/>
        </w:rPr>
        <w:t xml:space="preserve"> en este terreno.</w:t>
      </w:r>
    </w:p>
    <w:p w:rsidR="009B5420" w:rsidRDefault="009B5420" w:rsidP="00BD14D3">
      <w:pPr>
        <w:autoSpaceDE w:val="0"/>
        <w:autoSpaceDN w:val="0"/>
        <w:spacing w:line="360" w:lineRule="auto"/>
        <w:jc w:val="both"/>
        <w:rPr>
          <w:sz w:val="24"/>
          <w:szCs w:val="24"/>
          <w:lang w:val="es-ES_tradnl"/>
        </w:rPr>
      </w:pPr>
    </w:p>
    <w:p w:rsidR="00BD14D3" w:rsidRDefault="00BD14D3" w:rsidP="00BD14D3">
      <w:pPr>
        <w:autoSpaceDE w:val="0"/>
        <w:autoSpaceDN w:val="0"/>
        <w:spacing w:line="360" w:lineRule="auto"/>
        <w:jc w:val="both"/>
        <w:rPr>
          <w:sz w:val="24"/>
          <w:szCs w:val="24"/>
          <w:lang w:val="es-ES_tradnl"/>
        </w:rPr>
      </w:pPr>
      <w:r>
        <w:rPr>
          <w:sz w:val="24"/>
          <w:szCs w:val="24"/>
          <w:lang w:val="es-ES_tradnl"/>
        </w:rPr>
        <w:t xml:space="preserve">Cabe resaltar que el análisis </w:t>
      </w:r>
      <w:r w:rsidR="00E33BD4">
        <w:rPr>
          <w:sz w:val="24"/>
          <w:szCs w:val="24"/>
          <w:lang w:val="es-ES_tradnl"/>
        </w:rPr>
        <w:t xml:space="preserve">tanto cuantitativo como cualitativo </w:t>
      </w:r>
      <w:r>
        <w:rPr>
          <w:sz w:val="24"/>
          <w:szCs w:val="24"/>
          <w:lang w:val="es-ES_tradnl"/>
        </w:rPr>
        <w:t xml:space="preserve">no pretende enjuiciar la calidad de la gestión de los </w:t>
      </w:r>
      <w:r w:rsidR="006172DF">
        <w:rPr>
          <w:sz w:val="24"/>
          <w:szCs w:val="24"/>
          <w:lang w:val="es-ES_tradnl"/>
        </w:rPr>
        <w:t xml:space="preserve">centros </w:t>
      </w:r>
      <w:r>
        <w:rPr>
          <w:sz w:val="24"/>
          <w:szCs w:val="24"/>
          <w:lang w:val="es-ES_tradnl"/>
        </w:rPr>
        <w:t>sino poner de manifiesto lo sustancial de su impacto económico y social y encontrar oportun</w:t>
      </w:r>
      <w:r w:rsidR="00241F75">
        <w:rPr>
          <w:sz w:val="24"/>
          <w:szCs w:val="24"/>
          <w:lang w:val="es-ES_tradnl"/>
        </w:rPr>
        <w:t xml:space="preserve">idades que les permitan crecer y </w:t>
      </w:r>
      <w:r>
        <w:rPr>
          <w:sz w:val="24"/>
          <w:szCs w:val="24"/>
          <w:lang w:val="es-ES_tradnl"/>
        </w:rPr>
        <w:t xml:space="preserve">ser más competitivos </w:t>
      </w:r>
      <w:r w:rsidR="00241F75">
        <w:rPr>
          <w:sz w:val="24"/>
          <w:szCs w:val="24"/>
          <w:lang w:val="es-ES_tradnl"/>
        </w:rPr>
        <w:t>con el objetivo de</w:t>
      </w:r>
      <w:r>
        <w:rPr>
          <w:sz w:val="24"/>
          <w:szCs w:val="24"/>
          <w:lang w:val="es-ES_tradnl"/>
        </w:rPr>
        <w:t xml:space="preserve"> generar un impacto social cada vez más sustantivo. </w:t>
      </w:r>
    </w:p>
    <w:p w:rsidR="001C1AB7" w:rsidRDefault="001C1AB7" w:rsidP="00BD14D3">
      <w:pPr>
        <w:autoSpaceDE w:val="0"/>
        <w:autoSpaceDN w:val="0"/>
        <w:spacing w:line="360" w:lineRule="auto"/>
        <w:jc w:val="both"/>
        <w:rPr>
          <w:sz w:val="24"/>
          <w:szCs w:val="24"/>
          <w:lang w:val="es-ES_tradnl"/>
        </w:rPr>
      </w:pPr>
    </w:p>
    <w:p w:rsidR="001C1AB7" w:rsidRDefault="001C1AB7" w:rsidP="00BD14D3">
      <w:pPr>
        <w:autoSpaceDE w:val="0"/>
        <w:autoSpaceDN w:val="0"/>
        <w:spacing w:line="360" w:lineRule="auto"/>
        <w:jc w:val="both"/>
        <w:rPr>
          <w:sz w:val="24"/>
          <w:szCs w:val="24"/>
          <w:lang w:val="es-ES_tradnl"/>
        </w:rPr>
      </w:pPr>
      <w:r>
        <w:rPr>
          <w:sz w:val="24"/>
          <w:szCs w:val="24"/>
          <w:lang w:val="es-ES_tradnl"/>
        </w:rPr>
        <w:t>El informe contiene asimismo los resultados de las entrevistas mantenidas con gestores de</w:t>
      </w:r>
      <w:r w:rsidR="00E33BD4">
        <w:rPr>
          <w:sz w:val="24"/>
          <w:szCs w:val="24"/>
          <w:lang w:val="es-ES_tradnl"/>
        </w:rPr>
        <w:t xml:space="preserve"> </w:t>
      </w:r>
      <w:r w:rsidR="006172DF">
        <w:rPr>
          <w:sz w:val="24"/>
          <w:szCs w:val="24"/>
          <w:lang w:val="es-ES_tradnl"/>
        </w:rPr>
        <w:t>centro</w:t>
      </w:r>
      <w:r w:rsidR="00263316">
        <w:rPr>
          <w:sz w:val="24"/>
          <w:szCs w:val="24"/>
          <w:lang w:val="es-ES_tradnl"/>
        </w:rPr>
        <w:t>s</w:t>
      </w:r>
      <w:r w:rsidR="006172DF">
        <w:rPr>
          <w:sz w:val="24"/>
          <w:szCs w:val="24"/>
          <w:lang w:val="es-ES_tradnl"/>
        </w:rPr>
        <w:t xml:space="preserve"> especiales de empleo</w:t>
      </w:r>
      <w:r>
        <w:rPr>
          <w:sz w:val="24"/>
          <w:szCs w:val="24"/>
          <w:lang w:val="es-ES_tradnl"/>
        </w:rPr>
        <w:t xml:space="preserve"> destacados en algunos de los ámbitos del análisis. </w:t>
      </w:r>
      <w:r w:rsidR="008B2483">
        <w:rPr>
          <w:sz w:val="24"/>
          <w:szCs w:val="24"/>
          <w:lang w:val="es-ES_tradnl"/>
        </w:rPr>
        <w:t>L</w:t>
      </w:r>
      <w:r>
        <w:rPr>
          <w:sz w:val="24"/>
          <w:szCs w:val="24"/>
          <w:lang w:val="es-ES_tradnl"/>
        </w:rPr>
        <w:t xml:space="preserve">as entrevistas </w:t>
      </w:r>
      <w:r w:rsidR="008B2483">
        <w:rPr>
          <w:sz w:val="24"/>
          <w:szCs w:val="24"/>
          <w:lang w:val="es-ES_tradnl"/>
        </w:rPr>
        <w:t>se han centrad</w:t>
      </w:r>
      <w:r>
        <w:rPr>
          <w:sz w:val="24"/>
          <w:szCs w:val="24"/>
          <w:lang w:val="es-ES_tradnl"/>
        </w:rPr>
        <w:t xml:space="preserve">o en las fortalezas y oportunidades que facilitarán el desarrollo del modelo en el futuro. </w:t>
      </w:r>
    </w:p>
    <w:p w:rsidR="00CB62AE" w:rsidRDefault="00CB62AE" w:rsidP="00BD14D3">
      <w:pPr>
        <w:autoSpaceDE w:val="0"/>
        <w:autoSpaceDN w:val="0"/>
        <w:spacing w:line="360" w:lineRule="auto"/>
        <w:jc w:val="both"/>
        <w:rPr>
          <w:sz w:val="24"/>
          <w:szCs w:val="24"/>
          <w:lang w:val="es-ES_tradnl"/>
        </w:rPr>
      </w:pPr>
    </w:p>
    <w:p w:rsidR="009B6FC8" w:rsidRDefault="009B6FC8" w:rsidP="009B6FC8">
      <w:pPr>
        <w:pStyle w:val="Ttulo1"/>
      </w:pPr>
      <w:bookmarkStart w:id="8" w:name="_Toc397357141"/>
      <w:bookmarkStart w:id="9" w:name="_Toc410916859"/>
      <w:r w:rsidRPr="007C508C">
        <w:lastRenderedPageBreak/>
        <w:t xml:space="preserve">Los </w:t>
      </w:r>
      <w:r w:rsidR="00263316">
        <w:t>Centros Especiales de Empleo</w:t>
      </w:r>
      <w:r w:rsidR="00526E5A">
        <w:t xml:space="preserve"> de Castilla y León</w:t>
      </w:r>
      <w:r w:rsidRPr="007C508C">
        <w:t>, un instrumento eficiente para la integración</w:t>
      </w:r>
      <w:bookmarkEnd w:id="8"/>
      <w:bookmarkEnd w:id="9"/>
    </w:p>
    <w:p w:rsidR="00AE2B42" w:rsidRPr="00842404" w:rsidRDefault="00AE2B42" w:rsidP="00842404">
      <w:pPr>
        <w:pStyle w:val="Ttulo2"/>
      </w:pPr>
      <w:bookmarkStart w:id="10" w:name="_Toc352773579"/>
      <w:bookmarkStart w:id="11" w:name="_Toc410916860"/>
      <w:r w:rsidRPr="007A408D">
        <w:rPr>
          <w:lang w:val="es-ES_tradnl"/>
        </w:rPr>
        <w:t xml:space="preserve">Impacto de los centros especiales de empleo </w:t>
      </w:r>
      <w:bookmarkEnd w:id="10"/>
      <w:r>
        <w:rPr>
          <w:lang w:val="es-ES_tradnl"/>
        </w:rPr>
        <w:t>de Castilla y León</w:t>
      </w:r>
      <w:bookmarkEnd w:id="11"/>
      <w:r w:rsidRPr="007A408D">
        <w:rPr>
          <w:strike/>
          <w:lang w:val="es-ES_tradnl"/>
        </w:rPr>
        <w:t xml:space="preserve"> </w:t>
      </w:r>
    </w:p>
    <w:p w:rsidR="00AE2B42" w:rsidRPr="007A408D" w:rsidRDefault="00AE2B42" w:rsidP="00AE2B42">
      <w:pPr>
        <w:pStyle w:val="Textoindependiente"/>
        <w:rPr>
          <w:lang w:val="es-ES_tradnl"/>
        </w:rPr>
      </w:pPr>
    </w:p>
    <w:p w:rsidR="00AE2B42" w:rsidRDefault="00AE2B42" w:rsidP="00AE2B4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base a la metodología utilizada en el estudio</w:t>
      </w:r>
      <w:r w:rsidR="00141AA5">
        <w:rPr>
          <w:rFonts w:ascii="MinionPro-Regular" w:hAnsi="MinionPro-Regular"/>
          <w:sz w:val="24"/>
          <w:szCs w:val="24"/>
          <w:lang w:val="es-ES_tradnl"/>
        </w:rPr>
        <w:t xml:space="preserve"> del año 2012</w:t>
      </w:r>
      <w:r>
        <w:rPr>
          <w:rFonts w:ascii="MinionPro-Regular" w:hAnsi="MinionPro-Regular"/>
          <w:sz w:val="24"/>
          <w:szCs w:val="24"/>
          <w:lang w:val="es-ES_tradnl"/>
        </w:rPr>
        <w:t xml:space="preserve"> “Presente y Futuro de los Centros Especiales de Empleo” </w:t>
      </w:r>
      <w:r w:rsidRPr="00084B6F">
        <w:rPr>
          <w:rFonts w:ascii="MinionPro-Regular" w:hAnsi="MinionPro-Regular"/>
          <w:sz w:val="24"/>
          <w:szCs w:val="24"/>
          <w:lang w:val="es-ES_tradnl"/>
        </w:rPr>
        <w:t>de la F</w:t>
      </w:r>
      <w:r w:rsidRPr="00842404">
        <w:rPr>
          <w:rFonts w:ascii="MinionPro-Regular" w:hAnsi="MinionPro-Regular"/>
          <w:sz w:val="24"/>
          <w:szCs w:val="24"/>
          <w:lang w:val="es-ES_tradnl"/>
        </w:rPr>
        <w:t>undación ONCE,</w:t>
      </w:r>
      <w:r w:rsidRPr="00084B6F">
        <w:rPr>
          <w:rFonts w:ascii="MinionPro-Regular" w:hAnsi="MinionPro-Regular"/>
          <w:sz w:val="24"/>
          <w:szCs w:val="24"/>
          <w:lang w:val="es-ES_tradnl"/>
        </w:rPr>
        <w:t xml:space="preserve"> se</w:t>
      </w:r>
      <w:r>
        <w:rPr>
          <w:rFonts w:ascii="MinionPro-Regular" w:hAnsi="MinionPro-Regular"/>
          <w:sz w:val="24"/>
          <w:szCs w:val="24"/>
          <w:lang w:val="es-ES_tradnl"/>
        </w:rPr>
        <w:t xml:space="preserve"> han estimado los flujos que los centros especiales de empleo de Castilla y León reciben de la administración pública y que retornan a ésta. Esta estimación</w:t>
      </w:r>
      <w:r w:rsidR="00E12CA5">
        <w:rPr>
          <w:rFonts w:ascii="MinionPro-Regular" w:hAnsi="MinionPro-Regular"/>
          <w:sz w:val="24"/>
          <w:szCs w:val="24"/>
          <w:lang w:val="es-ES_tradnl"/>
        </w:rPr>
        <w:t>, sin embargo</w:t>
      </w:r>
      <w:r w:rsidR="000A27D2">
        <w:rPr>
          <w:rFonts w:ascii="MinionPro-Regular" w:hAnsi="MinionPro-Regular"/>
          <w:sz w:val="24"/>
          <w:szCs w:val="24"/>
          <w:lang w:val="es-ES_tradnl"/>
        </w:rPr>
        <w:t>,</w:t>
      </w:r>
      <w:r w:rsidR="00084B6F">
        <w:rPr>
          <w:rFonts w:ascii="MinionPro-Regular" w:hAnsi="MinionPro-Regular"/>
          <w:sz w:val="24"/>
          <w:szCs w:val="24"/>
          <w:lang w:val="es-ES_tradnl"/>
        </w:rPr>
        <w:t xml:space="preserve"> y tal y como se decía en el mencionado informe</w:t>
      </w:r>
      <w:r w:rsidR="00E12CA5">
        <w:rPr>
          <w:rFonts w:ascii="MinionPro-Regular" w:hAnsi="MinionPro-Regular"/>
          <w:sz w:val="24"/>
          <w:szCs w:val="24"/>
          <w:lang w:val="es-ES_tradnl"/>
        </w:rPr>
        <w:t>,</w:t>
      </w:r>
      <w:r>
        <w:rPr>
          <w:rFonts w:ascii="MinionPro-Regular" w:hAnsi="MinionPro-Regular"/>
          <w:sz w:val="24"/>
          <w:szCs w:val="24"/>
          <w:lang w:val="es-ES_tradnl"/>
        </w:rPr>
        <w:t xml:space="preserve"> no debe ser malinterpretada; las ayudas públicas que reciben los centros especiales de empleo </w:t>
      </w:r>
      <w:r w:rsidR="0047529A">
        <w:rPr>
          <w:rFonts w:ascii="MinionPro-Regular" w:hAnsi="MinionPro-Regular"/>
          <w:sz w:val="24"/>
          <w:szCs w:val="24"/>
          <w:lang w:val="es-ES_tradnl"/>
        </w:rPr>
        <w:t>no son inversiones financieras y su razón de ser no es</w:t>
      </w:r>
      <w:r>
        <w:rPr>
          <w:rFonts w:ascii="MinionPro-Regular" w:hAnsi="MinionPro-Regular"/>
          <w:sz w:val="24"/>
          <w:szCs w:val="24"/>
          <w:lang w:val="es-ES_tradnl"/>
        </w:rPr>
        <w:t xml:space="preserve"> ofrecer un retorno de esa naturaleza a las arcas públicas. El prop</w:t>
      </w:r>
      <w:r w:rsidR="0047529A">
        <w:rPr>
          <w:rFonts w:ascii="MinionPro-Regular" w:hAnsi="MinionPro-Regular"/>
          <w:sz w:val="24"/>
          <w:szCs w:val="24"/>
          <w:lang w:val="es-ES_tradnl"/>
        </w:rPr>
        <w:t xml:space="preserve">ósito de las ayudas se enmarca principalmente </w:t>
      </w:r>
      <w:r>
        <w:rPr>
          <w:rFonts w:ascii="MinionPro-Regular" w:hAnsi="MinionPro-Regular"/>
          <w:sz w:val="24"/>
          <w:szCs w:val="24"/>
          <w:lang w:val="es-ES_tradnl"/>
        </w:rPr>
        <w:t>en la “indispensable solidaridad” mencionada en el artículo</w:t>
      </w:r>
      <w:r w:rsidRPr="00F23441">
        <w:rPr>
          <w:rFonts w:ascii="MinionPro-Regular" w:hAnsi="MinionPro-Regular"/>
          <w:color w:val="FF0000"/>
          <w:sz w:val="24"/>
          <w:szCs w:val="24"/>
          <w:lang w:val="es-ES_tradnl"/>
        </w:rPr>
        <w:t xml:space="preserve"> </w:t>
      </w:r>
      <w:r w:rsidRPr="003063D9">
        <w:rPr>
          <w:rFonts w:ascii="MinionPro-Regular" w:hAnsi="MinionPro-Regular"/>
          <w:sz w:val="24"/>
          <w:szCs w:val="24"/>
          <w:lang w:val="es-ES_tradnl"/>
        </w:rPr>
        <w:t>49 en relación con</w:t>
      </w:r>
      <w:r w:rsidRPr="00F23441">
        <w:rPr>
          <w:rFonts w:ascii="MinionPro-Regular" w:hAnsi="MinionPro-Regular"/>
          <w:color w:val="FF6600"/>
          <w:sz w:val="24"/>
          <w:szCs w:val="24"/>
          <w:lang w:val="es-ES_tradnl"/>
        </w:rPr>
        <w:t xml:space="preserve"> </w:t>
      </w:r>
      <w:r w:rsidRPr="003063D9">
        <w:rPr>
          <w:rFonts w:ascii="MinionPro-Regular" w:hAnsi="MinionPro-Regular"/>
          <w:sz w:val="24"/>
          <w:szCs w:val="24"/>
          <w:lang w:val="es-ES_tradnl"/>
        </w:rPr>
        <w:t>los artículos 9 y 14</w:t>
      </w:r>
      <w:r w:rsidR="000A27D2">
        <w:rPr>
          <w:rFonts w:ascii="MinionPro-Regular" w:hAnsi="MinionPro-Regular"/>
          <w:sz w:val="24"/>
          <w:szCs w:val="24"/>
          <w:lang w:val="es-ES_tradnl"/>
        </w:rPr>
        <w:t xml:space="preserve"> de la Constitución E</w:t>
      </w:r>
      <w:r>
        <w:rPr>
          <w:rFonts w:ascii="MinionPro-Regular" w:hAnsi="MinionPro-Regular"/>
          <w:sz w:val="24"/>
          <w:szCs w:val="24"/>
          <w:lang w:val="es-ES_tradnl"/>
        </w:rPr>
        <w:t xml:space="preserve">spañola para garantizar la igualdad de oportunidades, principio rector de las democracias avanzadas como la española, de las personas con discapacidad. </w:t>
      </w:r>
    </w:p>
    <w:p w:rsidR="00AE2B42" w:rsidRDefault="00AE2B42" w:rsidP="00AE2B42">
      <w:pPr>
        <w:autoSpaceDE w:val="0"/>
        <w:autoSpaceDN w:val="0"/>
        <w:spacing w:line="360" w:lineRule="auto"/>
        <w:jc w:val="both"/>
        <w:rPr>
          <w:rFonts w:ascii="MinionPro-Regular" w:hAnsi="MinionPro-Regular"/>
          <w:sz w:val="24"/>
          <w:szCs w:val="24"/>
          <w:lang w:val="es-ES_tradnl"/>
        </w:rPr>
      </w:pPr>
    </w:p>
    <w:p w:rsidR="00141AA5" w:rsidRDefault="00084B6F" w:rsidP="00AE2B4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w:t>
      </w:r>
      <w:r w:rsidR="00AE2B42">
        <w:rPr>
          <w:rFonts w:ascii="MinionPro-Regular" w:hAnsi="MinionPro-Regular"/>
          <w:sz w:val="24"/>
          <w:szCs w:val="24"/>
          <w:lang w:val="es-ES_tradnl"/>
        </w:rPr>
        <w:t>as ayudas a las personas con discapacidad y, por ende, a los centros especiales de emple</w:t>
      </w:r>
      <w:r w:rsidR="00445DF8">
        <w:rPr>
          <w:rFonts w:ascii="MinionPro-Regular" w:hAnsi="MinionPro-Regular"/>
          <w:sz w:val="24"/>
          <w:szCs w:val="24"/>
          <w:lang w:val="es-ES_tradnl"/>
        </w:rPr>
        <w:t>o,</w:t>
      </w:r>
      <w:r w:rsidR="00AE2B42">
        <w:rPr>
          <w:rFonts w:ascii="MinionPro-Regular" w:hAnsi="MinionPro-Regular"/>
          <w:sz w:val="24"/>
          <w:szCs w:val="24"/>
          <w:lang w:val="es-ES_tradnl"/>
        </w:rPr>
        <w:t xml:space="preserve"> deben enmarcarse en el principio de equidad; en el deseo de nuestra sociedad de contar con una red de bienestar que permita disfrutar a las personas con discapacidad de oportunidades similares a las del resto de la población. </w:t>
      </w:r>
    </w:p>
    <w:p w:rsidR="00141AA5" w:rsidRDefault="00141AA5" w:rsidP="00AE2B42">
      <w:pPr>
        <w:autoSpaceDE w:val="0"/>
        <w:autoSpaceDN w:val="0"/>
        <w:spacing w:line="360" w:lineRule="auto"/>
        <w:jc w:val="both"/>
        <w:rPr>
          <w:rFonts w:ascii="MinionPro-Regular" w:hAnsi="MinionPro-Regular"/>
          <w:sz w:val="24"/>
          <w:szCs w:val="24"/>
          <w:lang w:val="es-ES_tradnl"/>
        </w:rPr>
      </w:pPr>
    </w:p>
    <w:p w:rsidR="00AE2B42" w:rsidRDefault="00141AA5" w:rsidP="00AE2B4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análisis llevado a cabo no pone</w:t>
      </w:r>
      <w:r w:rsidR="00AE2B42">
        <w:rPr>
          <w:rFonts w:ascii="MinionPro-Regular" w:hAnsi="MinionPro-Regular"/>
          <w:sz w:val="24"/>
          <w:szCs w:val="24"/>
          <w:lang w:val="es-ES_tradnl"/>
        </w:rPr>
        <w:t xml:space="preserve"> el acento</w:t>
      </w:r>
      <w:r w:rsidR="0047529A">
        <w:rPr>
          <w:rFonts w:ascii="MinionPro-Regular" w:hAnsi="MinionPro-Regular"/>
          <w:sz w:val="24"/>
          <w:szCs w:val="24"/>
          <w:lang w:val="es-ES_tradnl"/>
        </w:rPr>
        <w:t>, por lo tanto,</w:t>
      </w:r>
      <w:r w:rsidR="00AE2B42">
        <w:rPr>
          <w:rFonts w:ascii="MinionPro-Regular" w:hAnsi="MinionPro-Regular"/>
          <w:sz w:val="24"/>
          <w:szCs w:val="24"/>
          <w:lang w:val="es-ES_tradnl"/>
        </w:rPr>
        <w:t xml:space="preserve"> en el retorno financiero ofrecido por los centros especiales de empleo</w:t>
      </w:r>
      <w:r>
        <w:rPr>
          <w:rFonts w:ascii="MinionPro-Regular" w:hAnsi="MinionPro-Regular"/>
          <w:sz w:val="24"/>
          <w:szCs w:val="24"/>
          <w:lang w:val="es-ES_tradnl"/>
        </w:rPr>
        <w:t>, sino</w:t>
      </w:r>
      <w:r w:rsidR="0047529A">
        <w:rPr>
          <w:rFonts w:ascii="MinionPro-Regular" w:hAnsi="MinionPro-Regular"/>
          <w:sz w:val="24"/>
          <w:szCs w:val="24"/>
          <w:lang w:val="es-ES_tradnl"/>
        </w:rPr>
        <w:t xml:space="preserve"> que</w:t>
      </w:r>
      <w:r>
        <w:rPr>
          <w:rFonts w:ascii="MinionPro-Regular" w:hAnsi="MinionPro-Regular"/>
          <w:sz w:val="24"/>
          <w:szCs w:val="24"/>
          <w:lang w:val="es-ES_tradnl"/>
        </w:rPr>
        <w:t xml:space="preserve">, más bien, </w:t>
      </w:r>
      <w:r w:rsidR="00AE2B42">
        <w:rPr>
          <w:rFonts w:ascii="MinionPro-Regular" w:hAnsi="MinionPro-Regular"/>
          <w:sz w:val="24"/>
          <w:szCs w:val="24"/>
          <w:lang w:val="es-ES_tradnl"/>
        </w:rPr>
        <w:t>estima los flujos económicos que se producen desde las arcas públicas a los centros especiales de empleo y viceversa.</w:t>
      </w:r>
    </w:p>
    <w:p w:rsidR="00AE2B42" w:rsidRDefault="00AE2B42" w:rsidP="00AE2B42">
      <w:pPr>
        <w:autoSpaceDE w:val="0"/>
        <w:autoSpaceDN w:val="0"/>
        <w:spacing w:line="360" w:lineRule="auto"/>
        <w:jc w:val="both"/>
        <w:rPr>
          <w:rFonts w:ascii="MinionPro-Regular" w:hAnsi="MinionPro-Regular"/>
          <w:sz w:val="24"/>
          <w:szCs w:val="24"/>
          <w:lang w:val="es-ES_tradnl"/>
        </w:rPr>
      </w:pPr>
    </w:p>
    <w:p w:rsidR="00AE2B42" w:rsidRDefault="00AE2B42" w:rsidP="00AE2B42">
      <w:pPr>
        <w:autoSpaceDE w:val="0"/>
        <w:autoSpaceDN w:val="0"/>
        <w:spacing w:line="360" w:lineRule="auto"/>
        <w:jc w:val="both"/>
        <w:rPr>
          <w:rFonts w:ascii="MinionPro-Regular" w:hAnsi="MinionPro-Regular"/>
          <w:sz w:val="24"/>
          <w:szCs w:val="24"/>
          <w:lang w:val="es-ES_tradnl"/>
        </w:rPr>
      </w:pPr>
      <w:r w:rsidRPr="008B461D">
        <w:rPr>
          <w:rFonts w:ascii="MinionPro-Regular" w:hAnsi="MinionPro-Regular"/>
          <w:sz w:val="24"/>
          <w:szCs w:val="24"/>
          <w:lang w:val="es-ES_tradnl"/>
        </w:rPr>
        <w:t xml:space="preserve">El </w:t>
      </w:r>
      <w:r w:rsidR="00141AA5">
        <w:rPr>
          <w:rFonts w:ascii="MinionPro-Regular" w:hAnsi="MinionPro-Regular"/>
          <w:sz w:val="24"/>
          <w:szCs w:val="24"/>
          <w:lang w:val="es-ES_tradnl"/>
        </w:rPr>
        <w:t>estudio</w:t>
      </w:r>
      <w:r w:rsidRPr="008B461D">
        <w:rPr>
          <w:rFonts w:ascii="MinionPro-Regular" w:hAnsi="MinionPro-Regular"/>
          <w:sz w:val="24"/>
          <w:szCs w:val="24"/>
          <w:lang w:val="es-ES_tradnl"/>
        </w:rPr>
        <w:t xml:space="preserve"> de impacto ha pretendido, por lo tanto, estimar </w:t>
      </w:r>
      <w:r w:rsidR="00590F28">
        <w:rPr>
          <w:rFonts w:ascii="MinionPro-Regular" w:hAnsi="MinionPro-Regular"/>
          <w:sz w:val="24"/>
          <w:szCs w:val="24"/>
          <w:lang w:val="es-ES_tradnl"/>
        </w:rPr>
        <w:t xml:space="preserve">de acuerdo a una metodología probada anteriormente </w:t>
      </w:r>
      <w:r w:rsidRPr="008B461D">
        <w:rPr>
          <w:rFonts w:ascii="MinionPro-Regular" w:hAnsi="MinionPro-Regular"/>
          <w:sz w:val="24"/>
          <w:szCs w:val="24"/>
          <w:lang w:val="es-ES_tradnl"/>
        </w:rPr>
        <w:t xml:space="preserve">lo que los centros especiales de empleo </w:t>
      </w:r>
      <w:r w:rsidR="00BA640A">
        <w:rPr>
          <w:rFonts w:ascii="MinionPro-Regular" w:hAnsi="MinionPro-Regular"/>
          <w:sz w:val="24"/>
          <w:szCs w:val="24"/>
          <w:lang w:val="es-ES_tradnl"/>
        </w:rPr>
        <w:t xml:space="preserve">de Castilla y León </w:t>
      </w:r>
      <w:r w:rsidRPr="008B461D">
        <w:rPr>
          <w:rFonts w:ascii="MinionPro-Regular" w:hAnsi="MinionPro-Regular"/>
          <w:sz w:val="24"/>
          <w:szCs w:val="24"/>
          <w:lang w:val="es-ES_tradnl"/>
        </w:rPr>
        <w:t xml:space="preserve">reciben de la administración pública y lo que retornan a la misma, tanto para aquellos </w:t>
      </w:r>
      <w:r w:rsidRPr="008B461D">
        <w:rPr>
          <w:rFonts w:ascii="MinionPro-Regular" w:hAnsi="MinionPro-Regular"/>
          <w:sz w:val="24"/>
          <w:szCs w:val="24"/>
          <w:lang w:val="es-ES_tradnl"/>
        </w:rPr>
        <w:lastRenderedPageBreak/>
        <w:t xml:space="preserve">que implican una entrada o salida de efectivo como aquellos que, siendo una ayuda de la administración o un retorno que los centros ofrecen, </w:t>
      </w:r>
      <w:r>
        <w:rPr>
          <w:rFonts w:ascii="MinionPro-Regular" w:hAnsi="MinionPro-Regular"/>
          <w:sz w:val="24"/>
          <w:szCs w:val="24"/>
          <w:lang w:val="es-ES_tradnl"/>
        </w:rPr>
        <w:t>no implican un movimiento de efectivo</w:t>
      </w:r>
      <w:r w:rsidRPr="008B461D">
        <w:rPr>
          <w:rFonts w:ascii="MinionPro-Regular" w:hAnsi="MinionPro-Regular"/>
          <w:sz w:val="24"/>
          <w:szCs w:val="24"/>
          <w:lang w:val="es-ES_tradnl"/>
        </w:rPr>
        <w:t>. También se han estimado los salarios pagados</w:t>
      </w:r>
      <w:r>
        <w:rPr>
          <w:rFonts w:ascii="MinionPro-Regular" w:hAnsi="MinionPro-Regular"/>
          <w:sz w:val="24"/>
          <w:szCs w:val="24"/>
          <w:lang w:val="es-ES_tradnl"/>
        </w:rPr>
        <w:t xml:space="preserve"> por los centros especiales de empleo a las personas con discapacidad.  Se trata, no olvidemos, de una aproximación a la realidad haciendo uso de la información disponible.</w:t>
      </w:r>
    </w:p>
    <w:p w:rsidR="00AE2B42" w:rsidRDefault="00AE2B42" w:rsidP="00AE2B42">
      <w:pPr>
        <w:pStyle w:val="Ttulo2"/>
        <w:rPr>
          <w:rFonts w:ascii="MinionPro-Regular" w:hAnsi="MinionPro-Regular"/>
          <w:lang w:val="es-ES_tradnl"/>
        </w:rPr>
      </w:pPr>
      <w:bookmarkStart w:id="12" w:name="_Toc410916861"/>
      <w:bookmarkStart w:id="13" w:name="_Toc352773580"/>
      <w:r w:rsidRPr="005611E0">
        <w:rPr>
          <w:rFonts w:ascii="MinionPro-Regular" w:hAnsi="MinionPro-Regular"/>
          <w:lang w:val="es-ES_tradnl"/>
        </w:rPr>
        <w:t xml:space="preserve">Premisas y limitaciones en la estimación del impacto de los centros especiales </w:t>
      </w:r>
      <w:r>
        <w:rPr>
          <w:rFonts w:ascii="MinionPro-Regular" w:hAnsi="MinionPro-Regular"/>
          <w:lang w:val="es-ES_tradnl"/>
        </w:rPr>
        <w:t xml:space="preserve">de </w:t>
      </w:r>
      <w:r w:rsidRPr="005611E0">
        <w:rPr>
          <w:rFonts w:ascii="MinionPro-Regular" w:hAnsi="MinionPro-Regular"/>
          <w:lang w:val="es-ES_tradnl"/>
        </w:rPr>
        <w:t>empleo</w:t>
      </w:r>
      <w:bookmarkEnd w:id="12"/>
      <w:r w:rsidRPr="005611E0">
        <w:rPr>
          <w:rFonts w:ascii="MinionPro-Regular" w:hAnsi="MinionPro-Regular"/>
          <w:lang w:val="es-ES_tradnl"/>
        </w:rPr>
        <w:t xml:space="preserve"> </w:t>
      </w:r>
      <w:bookmarkEnd w:id="13"/>
    </w:p>
    <w:p w:rsidR="00AE2B42" w:rsidRDefault="00AE2B42" w:rsidP="00AE2B42">
      <w:pPr>
        <w:pStyle w:val="Textoindependiente"/>
        <w:rPr>
          <w:lang w:val="es-ES_tradnl"/>
        </w:rPr>
      </w:pPr>
    </w:p>
    <w:p w:rsidR="00AE2B42" w:rsidRDefault="00AE2B42" w:rsidP="00AE2B4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Para estimación de los flujos </w:t>
      </w:r>
      <w:r w:rsidR="00FF429E">
        <w:rPr>
          <w:rFonts w:ascii="MinionPro-Regular" w:hAnsi="MinionPro-Regular"/>
          <w:sz w:val="24"/>
          <w:szCs w:val="24"/>
          <w:lang w:val="es-ES_tradnl"/>
        </w:rPr>
        <w:t xml:space="preserve">de los centros de Castilla y León ha sido </w:t>
      </w:r>
      <w:proofErr w:type="gramStart"/>
      <w:r w:rsidR="00FF429E">
        <w:rPr>
          <w:rFonts w:ascii="MinionPro-Regular" w:hAnsi="MinionPro-Regular"/>
          <w:sz w:val="24"/>
          <w:szCs w:val="24"/>
          <w:lang w:val="es-ES_tradnl"/>
        </w:rPr>
        <w:t>utilizada</w:t>
      </w:r>
      <w:proofErr w:type="gramEnd"/>
      <w:r w:rsidR="00FF429E">
        <w:rPr>
          <w:rFonts w:ascii="MinionPro-Regular" w:hAnsi="MinionPro-Regular"/>
          <w:sz w:val="24"/>
          <w:szCs w:val="24"/>
          <w:lang w:val="es-ES_tradnl"/>
        </w:rPr>
        <w:t xml:space="preserve"> la metodología anteriormente mencionada, en la que hay que tener en cuenta</w:t>
      </w:r>
      <w:r>
        <w:rPr>
          <w:rFonts w:ascii="MinionPro-Regular" w:hAnsi="MinionPro-Regular"/>
          <w:sz w:val="24"/>
          <w:szCs w:val="24"/>
          <w:lang w:val="es-ES_tradnl"/>
        </w:rPr>
        <w:t xml:space="preserve">:  </w:t>
      </w:r>
    </w:p>
    <w:p w:rsidR="00AE2B42" w:rsidRDefault="00AE2B42" w:rsidP="00AE2B42">
      <w:pPr>
        <w:autoSpaceDE w:val="0"/>
        <w:autoSpaceDN w:val="0"/>
        <w:spacing w:line="360" w:lineRule="auto"/>
        <w:jc w:val="both"/>
        <w:rPr>
          <w:rFonts w:ascii="MinionPro-Regular" w:hAnsi="MinionPro-Regular"/>
          <w:sz w:val="24"/>
          <w:szCs w:val="24"/>
          <w:lang w:val="es-ES_tradnl"/>
        </w:rPr>
      </w:pPr>
    </w:p>
    <w:p w:rsidR="00AE2B42" w:rsidRPr="005B249D" w:rsidRDefault="00AE2B42" w:rsidP="00842404">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47529A">
        <w:rPr>
          <w:rFonts w:ascii="MinionPro-Regular" w:hAnsi="MinionPro-Regular"/>
          <w:sz w:val="24"/>
          <w:lang w:val="es-ES_tradnl"/>
        </w:rPr>
        <w:t xml:space="preserve">En cuanto a las ayudas de la administración pública que implican salida de efectivo, </w:t>
      </w:r>
      <w:r w:rsidR="00362D3A" w:rsidRPr="0047529A">
        <w:rPr>
          <w:rFonts w:ascii="MinionPro-Regular" w:hAnsi="MinionPro-Regular"/>
          <w:sz w:val="24"/>
          <w:lang w:val="es-ES_tradnl"/>
        </w:rPr>
        <w:t xml:space="preserve">se ha utilizado </w:t>
      </w:r>
      <w:r w:rsidRPr="0047529A">
        <w:rPr>
          <w:rFonts w:ascii="MinionPro-Regular" w:hAnsi="MinionPro-Regular"/>
          <w:sz w:val="24"/>
          <w:lang w:val="es-ES_tradnl"/>
        </w:rPr>
        <w:t>el concepto de “Compromiso de gasto para centros especiales de empleo” según la Tesorería General de Seguridad Social</w:t>
      </w:r>
      <w:r w:rsidR="0047529A">
        <w:rPr>
          <w:rFonts w:ascii="MinionPro-Regular" w:hAnsi="MinionPro-Regular"/>
          <w:sz w:val="24"/>
          <w:lang w:val="es-ES_tradnl"/>
        </w:rPr>
        <w:t>.</w:t>
      </w:r>
    </w:p>
    <w:p w:rsidR="00362D3A" w:rsidRPr="00362D3A" w:rsidRDefault="00362D3A">
      <w:pPr>
        <w:pStyle w:val="Prrafodelista"/>
        <w:autoSpaceDE w:val="0"/>
        <w:autoSpaceDN w:val="0"/>
        <w:spacing w:line="360" w:lineRule="auto"/>
        <w:ind w:left="340"/>
        <w:jc w:val="both"/>
        <w:rPr>
          <w:rFonts w:ascii="MinionPro-Regular" w:hAnsi="MinionPro-Regular"/>
          <w:sz w:val="24"/>
          <w:szCs w:val="24"/>
          <w:lang w:val="es-ES_tradnl"/>
        </w:rPr>
      </w:pPr>
    </w:p>
    <w:p w:rsidR="00AE2B42" w:rsidRPr="00150166"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150166">
        <w:rPr>
          <w:rFonts w:ascii="MinionPro-Regular" w:hAnsi="MinionPro-Regular"/>
          <w:sz w:val="24"/>
          <w:lang w:val="es-ES_tradnl"/>
        </w:rPr>
        <w:t xml:space="preserve">En la estimación del IRPF </w:t>
      </w:r>
      <w:r w:rsidRPr="00455028">
        <w:rPr>
          <w:rFonts w:ascii="MinionPro-Regular" w:hAnsi="MinionPro-Regular"/>
          <w:sz w:val="24"/>
          <w:lang w:val="es-ES_tradnl"/>
        </w:rPr>
        <w:t>y la cuota de seguridad social, para obtener la base liquidable y la base de cotización a las que aplicar los tipos impositivos correspondientes, ha sido necesario estimar tales cantidades a partir de los salarios de las personas con discapacidad de la Muestra Continua de Vida Laboral</w:t>
      </w:r>
      <w:r w:rsidRPr="00150166">
        <w:rPr>
          <w:rFonts w:ascii="MinionPro-Regular" w:hAnsi="MinionPro-Regular"/>
          <w:sz w:val="24"/>
          <w:szCs w:val="24"/>
          <w:lang w:val="es-ES_tradnl"/>
        </w:rPr>
        <w:t xml:space="preserve"> </w:t>
      </w:r>
      <w:r>
        <w:rPr>
          <w:rFonts w:ascii="MinionPro-Regular" w:hAnsi="MinionPro-Regular"/>
          <w:sz w:val="24"/>
          <w:szCs w:val="24"/>
          <w:lang w:val="es-ES_tradnl"/>
        </w:rPr>
        <w:t xml:space="preserve">de la </w:t>
      </w:r>
      <w:r w:rsidRPr="00F8698A">
        <w:rPr>
          <w:rFonts w:ascii="MinionPro-Regular" w:hAnsi="MinionPro-Regular"/>
          <w:sz w:val="24"/>
          <w:szCs w:val="24"/>
          <w:lang w:val="es-ES_tradnl"/>
        </w:rPr>
        <w:t>Dirección General de Ordenación de la Seguridad Social</w:t>
      </w:r>
      <w:r w:rsidRPr="00455028">
        <w:rPr>
          <w:rFonts w:ascii="MinionPro-Regular" w:hAnsi="MinionPro-Regular"/>
          <w:sz w:val="24"/>
          <w:lang w:val="es-ES_tradnl"/>
        </w:rPr>
        <w:t>.</w:t>
      </w:r>
    </w:p>
    <w:p w:rsidR="00AE2B42" w:rsidRDefault="00AE2B42" w:rsidP="00AE2B42">
      <w:pPr>
        <w:autoSpaceDE w:val="0"/>
        <w:autoSpaceDN w:val="0"/>
        <w:spacing w:line="360" w:lineRule="auto"/>
        <w:jc w:val="both"/>
        <w:rPr>
          <w:rFonts w:ascii="MinionPro-Regular" w:hAnsi="MinionPro-Regular"/>
          <w:sz w:val="24"/>
          <w:szCs w:val="24"/>
          <w:lang w:val="es-ES_tradnl"/>
        </w:rPr>
      </w:pPr>
    </w:p>
    <w:p w:rsidR="00AE2B42"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lang w:val="es-ES_tradnl"/>
        </w:rPr>
        <w:t>Para obtener una estimación aproximada de los impuestos indirectos que los centros especiales de empleo</w:t>
      </w:r>
      <w:r>
        <w:rPr>
          <w:rFonts w:ascii="MinionPro-Regular" w:hAnsi="MinionPro-Regular"/>
          <w:sz w:val="24"/>
          <w:lang w:val="es-ES_tradnl"/>
        </w:rPr>
        <w:t xml:space="preserve"> aportan</w:t>
      </w:r>
      <w:r w:rsidRPr="00455028">
        <w:rPr>
          <w:rFonts w:ascii="MinionPro-Regular" w:hAnsi="MinionPro-Regular"/>
          <w:sz w:val="24"/>
          <w:lang w:val="es-ES_tradnl"/>
        </w:rPr>
        <w:t xml:space="preserve"> al Estado a través de la puesta en el mercado</w:t>
      </w:r>
      <w:r w:rsidRPr="00A7470E">
        <w:rPr>
          <w:rFonts w:ascii="MinionPro-Regular" w:hAnsi="MinionPro-Regular"/>
          <w:sz w:val="24"/>
          <w:lang w:val="es-ES_tradnl"/>
        </w:rPr>
        <w:t xml:space="preserve"> </w:t>
      </w:r>
      <w:r w:rsidRPr="00AB75E2">
        <w:rPr>
          <w:rFonts w:ascii="MinionPro-Regular" w:hAnsi="MinionPro-Regular"/>
          <w:sz w:val="24"/>
          <w:lang w:val="es-ES_tradnl"/>
        </w:rPr>
        <w:t>de sus productos</w:t>
      </w:r>
      <w:r w:rsidRPr="00455028">
        <w:rPr>
          <w:rFonts w:ascii="MinionPro-Regular" w:hAnsi="MinionPro-Regular"/>
          <w:sz w:val="24"/>
          <w:lang w:val="es-ES_tradnl"/>
        </w:rPr>
        <w:t>, ha sido necesario remontarnos hasta el cálculo del Valor Añadido Bruto (VAB) por empleado en centro especial de empleo. Para ello, se han utilizado datos de Eurostat en cuanto a VAB de empleados de industria y sector servicios relacionados con la actividad de los centros especiales de em</w:t>
      </w:r>
      <w:r w:rsidRPr="009B3818">
        <w:rPr>
          <w:rFonts w:ascii="MinionPro-Regular" w:hAnsi="MinionPro-Regular"/>
          <w:sz w:val="24"/>
          <w:lang w:val="es-ES_tradnl"/>
        </w:rPr>
        <w:t>pleo. Por otra parte, se ha tenido en cuenta que el tamaño medio de los centros especiales de empl</w:t>
      </w:r>
      <w:r w:rsidR="009B3818" w:rsidRPr="00842404">
        <w:rPr>
          <w:rFonts w:ascii="MinionPro-Regular" w:hAnsi="MinionPro-Regular"/>
          <w:sz w:val="24"/>
          <w:lang w:val="es-ES_tradnl"/>
        </w:rPr>
        <w:t>eo en Castilla y León</w:t>
      </w:r>
      <w:r w:rsidRPr="009B3818">
        <w:rPr>
          <w:rFonts w:ascii="MinionPro-Regular" w:hAnsi="MinionPro-Regular"/>
          <w:sz w:val="24"/>
          <w:lang w:val="es-ES_tradnl"/>
        </w:rPr>
        <w:t xml:space="preserve"> </w:t>
      </w:r>
      <w:r w:rsidR="009B3818" w:rsidRPr="00842404">
        <w:rPr>
          <w:rFonts w:ascii="MinionPro-Regular" w:hAnsi="MinionPro-Regular"/>
          <w:sz w:val="24"/>
          <w:lang w:val="es-ES_tradnl"/>
        </w:rPr>
        <w:t>es de 27</w:t>
      </w:r>
      <w:r w:rsidRPr="009B3818">
        <w:rPr>
          <w:rFonts w:ascii="MinionPro-Regular" w:hAnsi="MinionPro-Regular"/>
          <w:sz w:val="24"/>
          <w:lang w:val="es-ES_tradnl"/>
        </w:rPr>
        <w:t xml:space="preserve"> trabajadores.</w:t>
      </w:r>
    </w:p>
    <w:p w:rsidR="00AE2B42" w:rsidRPr="00150166" w:rsidRDefault="00AE2B42" w:rsidP="00AE2B42">
      <w:pPr>
        <w:pStyle w:val="Prrafodelista"/>
        <w:autoSpaceDE w:val="0"/>
        <w:autoSpaceDN w:val="0"/>
        <w:spacing w:line="360" w:lineRule="auto"/>
        <w:ind w:left="340"/>
        <w:jc w:val="both"/>
        <w:rPr>
          <w:rFonts w:ascii="MinionPro-Regular" w:hAnsi="MinionPro-Regular"/>
          <w:sz w:val="24"/>
          <w:szCs w:val="24"/>
          <w:lang w:val="es-ES_tradnl"/>
        </w:rPr>
      </w:pPr>
    </w:p>
    <w:p w:rsidR="00AE2B42" w:rsidRPr="00150166"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lang w:val="es-ES_tradnl"/>
        </w:rPr>
        <w:t>Para poder reproducir el impuesto de sociedades que los centros especiales de empleo han</w:t>
      </w:r>
      <w:r w:rsidRPr="00150166">
        <w:rPr>
          <w:rFonts w:ascii="MinionPro-Regular" w:hAnsi="MinionPro-Regular"/>
          <w:sz w:val="24"/>
          <w:lang w:val="es-ES_tradnl"/>
        </w:rPr>
        <w:t xml:space="preserve"> de abonar, es necesario especificar cuáles son empresas mercantiles, y además, cuáles han obtenido beneficios tras el ejercicio. Al no disponer de esta información, se ha realizado una estimación a par</w:t>
      </w:r>
      <w:r>
        <w:rPr>
          <w:rFonts w:ascii="MinionPro-Regular" w:hAnsi="MinionPro-Regular"/>
          <w:sz w:val="24"/>
          <w:lang w:val="es-ES_tradnl"/>
        </w:rPr>
        <w:t>t</w:t>
      </w:r>
      <w:r w:rsidRPr="00150166">
        <w:rPr>
          <w:rFonts w:ascii="MinionPro-Regular" w:hAnsi="MinionPro-Regular"/>
          <w:sz w:val="24"/>
          <w:lang w:val="es-ES_tradnl"/>
        </w:rPr>
        <w:t>ir del porcentaje que</w:t>
      </w:r>
      <w:r>
        <w:rPr>
          <w:rFonts w:ascii="MinionPro-Regular" w:hAnsi="MinionPro-Regular"/>
          <w:sz w:val="24"/>
          <w:lang w:val="es-ES_tradnl"/>
        </w:rPr>
        <w:t>, de acuerdo a los datos ofrecidos por la OCDE, los impuestos a las empresas suponen sobre la economía nacional, y a su vez, estimando la parte proporcional a los centros especiales de empleo</w:t>
      </w:r>
      <w:r w:rsidR="00D309E3">
        <w:rPr>
          <w:rFonts w:ascii="MinionPro-Regular" w:hAnsi="MinionPro-Regular"/>
          <w:sz w:val="24"/>
          <w:lang w:val="es-ES_tradnl"/>
        </w:rPr>
        <w:t xml:space="preserve"> de Castilla y León</w:t>
      </w:r>
      <w:r>
        <w:rPr>
          <w:rFonts w:ascii="MinionPro-Regular" w:hAnsi="MinionPro-Regular"/>
          <w:sz w:val="24"/>
          <w:lang w:val="es-ES_tradnl"/>
        </w:rPr>
        <w:t>.</w:t>
      </w:r>
    </w:p>
    <w:p w:rsidR="00AE2B42" w:rsidRDefault="00AE2B42" w:rsidP="00AE2B42">
      <w:pPr>
        <w:autoSpaceDE w:val="0"/>
        <w:autoSpaceDN w:val="0"/>
        <w:spacing w:line="360" w:lineRule="auto"/>
        <w:jc w:val="both"/>
        <w:rPr>
          <w:rFonts w:ascii="MinionPro-Regular" w:hAnsi="MinionPro-Regular"/>
          <w:sz w:val="24"/>
          <w:szCs w:val="24"/>
          <w:lang w:val="es-ES_tradnl"/>
        </w:rPr>
      </w:pPr>
    </w:p>
    <w:p w:rsidR="00AE2B42" w:rsidRPr="00150166"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455028">
        <w:rPr>
          <w:rFonts w:ascii="MinionPro-Regular" w:hAnsi="MinionPro-Regular"/>
          <w:sz w:val="24"/>
          <w:lang w:val="es-ES_tradnl"/>
        </w:rPr>
        <w:t>En la estimación de las ayudas según los conceptos de la LISMI, se ha tenido en cuenta el cambio legislativo de 1994, en la que se suprimieron dos de las ayudas</w:t>
      </w:r>
      <w:r>
        <w:rPr>
          <w:rFonts w:ascii="MinionPro-Regular" w:hAnsi="MinionPro-Regular"/>
          <w:sz w:val="24"/>
          <w:lang w:val="es-ES_tradnl"/>
        </w:rPr>
        <w:t xml:space="preserve"> y que, además, no exista concurrencia con las pensiones no contributivas</w:t>
      </w:r>
      <w:r w:rsidRPr="00455028">
        <w:rPr>
          <w:rFonts w:ascii="MinionPro-Regular" w:hAnsi="MinionPro-Regular"/>
          <w:sz w:val="24"/>
          <w:lang w:val="es-ES_tradnl"/>
        </w:rPr>
        <w:t>. Al igual que ocurría en la estimación de IRPF y seguridad social, se ha partido de la MCVL, por lo que se han r</w:t>
      </w:r>
      <w:r w:rsidRPr="00455028">
        <w:rPr>
          <w:rFonts w:ascii="MinionPro-Regular" w:hAnsi="MinionPro-Regular"/>
          <w:sz w:val="24"/>
          <w:szCs w:val="24"/>
          <w:lang w:val="es-ES_tradnl"/>
        </w:rPr>
        <w:t>e</w:t>
      </w:r>
      <w:r w:rsidRPr="00455028">
        <w:rPr>
          <w:rFonts w:ascii="MinionPro-Regular" w:hAnsi="MinionPro-Regular"/>
          <w:sz w:val="24"/>
          <w:lang w:val="es-ES_tradnl"/>
        </w:rPr>
        <w:t>alizado estimaciones para obtener los datos de los trabajadores en centros especiales de empleo</w:t>
      </w:r>
      <w:r w:rsidR="00D309E3">
        <w:rPr>
          <w:rFonts w:ascii="MinionPro-Regular" w:hAnsi="MinionPro-Regular"/>
          <w:sz w:val="24"/>
          <w:lang w:val="es-ES_tradnl"/>
        </w:rPr>
        <w:t xml:space="preserve"> de Castilla y León</w:t>
      </w:r>
      <w:r w:rsidRPr="00455028">
        <w:rPr>
          <w:rFonts w:ascii="MinionPro-Regular" w:hAnsi="MinionPro-Regular"/>
          <w:sz w:val="24"/>
          <w:lang w:val="es-ES_tradnl"/>
        </w:rPr>
        <w:t>.</w:t>
      </w:r>
    </w:p>
    <w:p w:rsidR="00AE2B42" w:rsidRDefault="00AE2B42" w:rsidP="00AE2B42">
      <w:pPr>
        <w:pStyle w:val="Prrafodelista"/>
        <w:autoSpaceDE w:val="0"/>
        <w:autoSpaceDN w:val="0"/>
        <w:spacing w:line="360" w:lineRule="auto"/>
        <w:ind w:left="340"/>
        <w:jc w:val="both"/>
        <w:rPr>
          <w:rFonts w:ascii="MinionPro-Regular" w:hAnsi="MinionPro-Regular"/>
          <w:sz w:val="24"/>
          <w:szCs w:val="24"/>
          <w:lang w:val="es-ES_tradnl"/>
        </w:rPr>
      </w:pPr>
    </w:p>
    <w:p w:rsidR="00AE2B42" w:rsidRPr="00A417DC"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891BAF">
        <w:rPr>
          <w:rFonts w:ascii="MinionPro-Regular" w:hAnsi="MinionPro-Regular"/>
          <w:sz w:val="24"/>
          <w:lang w:val="es-ES_tradnl"/>
        </w:rPr>
        <w:t xml:space="preserve">En cuanto a las pensiones no contributivas se ha considerado la posibilidad de hacerlas compatibles con la realización de una actividad con los requisitos que establece la legislación, por lo que la estimación final es el resultado de </w:t>
      </w:r>
      <w:r>
        <w:rPr>
          <w:rFonts w:ascii="MinionPro-Regular" w:hAnsi="MinionPro-Regular"/>
          <w:sz w:val="24"/>
          <w:lang w:val="es-ES_tradnl"/>
        </w:rPr>
        <w:t>evaluar</w:t>
      </w:r>
      <w:r w:rsidRPr="00891BAF">
        <w:rPr>
          <w:rFonts w:ascii="MinionPro-Regular" w:hAnsi="MinionPro-Regular"/>
          <w:sz w:val="24"/>
          <w:lang w:val="es-ES_tradnl"/>
        </w:rPr>
        <w:t xml:space="preserve"> la</w:t>
      </w:r>
      <w:r>
        <w:rPr>
          <w:rFonts w:ascii="MinionPro-Regular" w:hAnsi="MinionPro-Regular"/>
          <w:sz w:val="24"/>
          <w:lang w:val="es-ES_tradnl"/>
        </w:rPr>
        <w:t>s</w:t>
      </w:r>
      <w:r w:rsidRPr="00891BAF">
        <w:rPr>
          <w:rFonts w:ascii="MinionPro-Regular" w:hAnsi="MinionPro-Regular"/>
          <w:sz w:val="24"/>
          <w:lang w:val="es-ES_tradnl"/>
        </w:rPr>
        <w:t xml:space="preserve"> no contributivas que se están pagando a las personas que están en la actualidad, y las pensiones no contributivas que el Estado tendría que abonar en caso de que todas las personas del centro especial de empleo no estuvieran en el mismo.</w:t>
      </w:r>
    </w:p>
    <w:p w:rsidR="00AE2B42" w:rsidRDefault="00AE2B42" w:rsidP="00AE2B42">
      <w:pPr>
        <w:pStyle w:val="Prrafodelista"/>
        <w:rPr>
          <w:rFonts w:ascii="MinionPro-Regular" w:hAnsi="MinionPro-Regular"/>
          <w:sz w:val="24"/>
          <w:szCs w:val="24"/>
          <w:lang w:val="es-ES_tradnl"/>
        </w:rPr>
      </w:pPr>
    </w:p>
    <w:p w:rsidR="00AE2B42"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Para las pensiones contributivas, se ha realizado una estimación similar a la realizada en las pensiones no contributivas debido a que es posible recibir la pensión de tal concepto y también una retribución por estar trabajando. Por otra parte, se han considerado las pensiones de invalidez permanente de la modalidad absoluta.</w:t>
      </w:r>
    </w:p>
    <w:p w:rsidR="00AE2B42" w:rsidRPr="00420E31" w:rsidRDefault="00AE2B42" w:rsidP="00AE2B42">
      <w:pPr>
        <w:autoSpaceDE w:val="0"/>
        <w:autoSpaceDN w:val="0"/>
        <w:spacing w:line="360" w:lineRule="auto"/>
        <w:jc w:val="both"/>
        <w:rPr>
          <w:rFonts w:ascii="MinionPro-Regular" w:hAnsi="MinionPro-Regular"/>
          <w:sz w:val="24"/>
          <w:szCs w:val="24"/>
          <w:lang w:val="es-ES_tradnl"/>
        </w:rPr>
      </w:pPr>
    </w:p>
    <w:p w:rsidR="00AE2B42" w:rsidRPr="00641C15"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Pr>
          <w:rFonts w:ascii="MinionPro-Regular" w:hAnsi="MinionPro-Regular"/>
          <w:sz w:val="24"/>
          <w:lang w:val="es-ES_tradnl"/>
        </w:rPr>
        <w:lastRenderedPageBreak/>
        <w:t xml:space="preserve">Por otro lado, </w:t>
      </w:r>
      <w:r w:rsidRPr="00891BAF">
        <w:rPr>
          <w:rFonts w:ascii="MinionPro-Regular" w:hAnsi="MinionPro-Regular"/>
          <w:sz w:val="24"/>
          <w:lang w:val="es-ES_tradnl"/>
        </w:rPr>
        <w:t>el ahorro en gasto sanitario ha sido estimado únicamente en relación a las personas con enfermedad mental que están realizando una actividad laboral</w:t>
      </w:r>
      <w:r w:rsidR="009B3818">
        <w:rPr>
          <w:rFonts w:ascii="MinionPro-Regular" w:hAnsi="MinionPro-Regular"/>
          <w:sz w:val="24"/>
          <w:lang w:val="es-ES_tradnl"/>
        </w:rPr>
        <w:t xml:space="preserve"> en los centros especiales de e</w:t>
      </w:r>
      <w:r w:rsidR="00D309E3">
        <w:rPr>
          <w:rFonts w:ascii="MinionPro-Regular" w:hAnsi="MinionPro-Regular"/>
          <w:sz w:val="24"/>
          <w:lang w:val="es-ES_tradnl"/>
        </w:rPr>
        <w:t>mpleo de Castilla y León</w:t>
      </w:r>
      <w:r w:rsidRPr="00891BAF">
        <w:rPr>
          <w:rFonts w:ascii="MinionPro-Regular" w:hAnsi="MinionPro-Regular"/>
          <w:sz w:val="24"/>
          <w:lang w:val="es-ES_tradnl"/>
        </w:rPr>
        <w:t xml:space="preserve">. </w:t>
      </w:r>
    </w:p>
    <w:p w:rsidR="00AE2B42" w:rsidRPr="009B79F2" w:rsidRDefault="00AE2B42" w:rsidP="00AE2B42">
      <w:pPr>
        <w:pStyle w:val="Prrafodelista"/>
        <w:rPr>
          <w:rFonts w:ascii="MinionPro-Regular" w:hAnsi="MinionPro-Regular"/>
          <w:sz w:val="24"/>
          <w:szCs w:val="24"/>
          <w:lang w:val="es-ES_tradnl"/>
        </w:rPr>
      </w:pPr>
    </w:p>
    <w:p w:rsidR="00AE2B42" w:rsidRPr="009B79F2"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 xml:space="preserve">Por último, el concepto de ahorro en plazas ocupacionales ha sido incluido debido a la existencia de tránsito entre los centros ocupacionales y los especiales de empleo. </w:t>
      </w:r>
      <w:r>
        <w:rPr>
          <w:rFonts w:ascii="MinionPro-Regular" w:hAnsi="MinionPro-Regular"/>
          <w:sz w:val="24"/>
          <w:szCs w:val="24"/>
          <w:lang w:val="es-ES_tradnl"/>
        </w:rPr>
        <w:t xml:space="preserve">Por un lado, </w:t>
      </w:r>
      <w:r w:rsidRPr="009B3818">
        <w:rPr>
          <w:rFonts w:ascii="MinionPro-Regular" w:hAnsi="MinionPro-Regular"/>
          <w:sz w:val="24"/>
          <w:szCs w:val="24"/>
          <w:lang w:val="es-ES_tradnl"/>
        </w:rPr>
        <w:t xml:space="preserve">en la encuesta realizada </w:t>
      </w:r>
      <w:r w:rsidR="00C811E9" w:rsidRPr="009B3818">
        <w:rPr>
          <w:rFonts w:ascii="MinionPro-Regular" w:hAnsi="MinionPro-Regular"/>
          <w:sz w:val="24"/>
          <w:szCs w:val="24"/>
          <w:lang w:val="es-ES_tradnl"/>
        </w:rPr>
        <w:t xml:space="preserve">en 2012 para el estudio mencionado anteriormente </w:t>
      </w:r>
      <w:r w:rsidRPr="009B3818">
        <w:rPr>
          <w:rFonts w:ascii="MinionPro-Regular" w:hAnsi="MinionPro-Regular"/>
          <w:sz w:val="24"/>
          <w:szCs w:val="24"/>
          <w:lang w:val="es-ES_tradnl"/>
        </w:rPr>
        <w:t>a</w:t>
      </w:r>
      <w:r>
        <w:rPr>
          <w:rFonts w:ascii="MinionPro-Regular" w:hAnsi="MinionPro-Regular"/>
          <w:sz w:val="24"/>
          <w:szCs w:val="24"/>
          <w:lang w:val="es-ES_tradnl"/>
        </w:rPr>
        <w:t xml:space="preserve"> trabajadores de los centros especiales de empleo visitados, un 20% provenía de centros ocupacionales. Por otra parte, el colectivo más susceptible de retorno a centro ocupacional podría ser el de las discapacidade</w:t>
      </w:r>
      <w:r w:rsidRPr="0041661D">
        <w:rPr>
          <w:rFonts w:ascii="MinionPro-Regular" w:hAnsi="MinionPro-Regular"/>
          <w:sz w:val="24"/>
          <w:szCs w:val="24"/>
          <w:lang w:val="es-ES_tradnl"/>
        </w:rPr>
        <w:t>s psíquicas,</w:t>
      </w:r>
      <w:r>
        <w:rPr>
          <w:rFonts w:ascii="MinionPro-Regular" w:hAnsi="MinionPro-Regular"/>
          <w:sz w:val="24"/>
          <w:szCs w:val="24"/>
          <w:lang w:val="es-ES_tradnl"/>
        </w:rPr>
        <w:t xml:space="preserve"> un </w:t>
      </w:r>
      <w:r w:rsidR="00DC39D0" w:rsidRPr="00842404">
        <w:rPr>
          <w:rFonts w:ascii="MinionPro-Regular" w:hAnsi="MinionPro-Regular"/>
          <w:sz w:val="24"/>
          <w:szCs w:val="24"/>
          <w:lang w:val="es-ES_tradnl"/>
        </w:rPr>
        <w:t>41</w:t>
      </w:r>
      <w:r w:rsidRPr="00DC39D0">
        <w:rPr>
          <w:rFonts w:ascii="MinionPro-Regular" w:hAnsi="MinionPro-Regular"/>
          <w:sz w:val="24"/>
          <w:szCs w:val="24"/>
          <w:lang w:val="es-ES_tradnl"/>
        </w:rPr>
        <w:t>%</w:t>
      </w:r>
      <w:r>
        <w:rPr>
          <w:rFonts w:ascii="MinionPro-Regular" w:hAnsi="MinionPro-Regular"/>
          <w:sz w:val="24"/>
          <w:szCs w:val="24"/>
          <w:lang w:val="es-ES_tradnl"/>
        </w:rPr>
        <w:t xml:space="preserve"> de la plantilla de los centros</w:t>
      </w:r>
      <w:r w:rsidR="009B3818">
        <w:rPr>
          <w:rFonts w:ascii="MinionPro-Regular" w:hAnsi="MinionPro-Regular"/>
          <w:sz w:val="24"/>
          <w:szCs w:val="24"/>
          <w:lang w:val="es-ES_tradnl"/>
        </w:rPr>
        <w:t xml:space="preserve"> de Castilla y León</w:t>
      </w:r>
      <w:r>
        <w:rPr>
          <w:rFonts w:ascii="MinionPro-Regular" w:hAnsi="MinionPro-Regular"/>
          <w:sz w:val="24"/>
          <w:szCs w:val="24"/>
          <w:lang w:val="es-ES_tradnl"/>
        </w:rPr>
        <w:t xml:space="preserve">. Con el objetivo de obtener una estimación que se ajuste lo más posible a estas dos variables, se ha considerado un valor intermedio de retorno a centros ocupacionales del 30% para calcular el ahorro generado en este ámbito. Partiendo de esta base, se ha calculado </w:t>
      </w:r>
      <w:r w:rsidRPr="009B79F2">
        <w:rPr>
          <w:rFonts w:ascii="MinionPro-Regular" w:hAnsi="MinionPro-Regular"/>
          <w:sz w:val="24"/>
          <w:szCs w:val="24"/>
          <w:lang w:val="es-ES_tradnl"/>
        </w:rPr>
        <w:t xml:space="preserve">el </w:t>
      </w:r>
      <w:r>
        <w:rPr>
          <w:rFonts w:ascii="MinionPro-Regular" w:hAnsi="MinionPro-Regular"/>
          <w:sz w:val="24"/>
          <w:szCs w:val="24"/>
          <w:lang w:val="es-ES_tradnl"/>
        </w:rPr>
        <w:t xml:space="preserve">total del </w:t>
      </w:r>
      <w:r w:rsidRPr="009B79F2">
        <w:rPr>
          <w:rFonts w:ascii="MinionPro-Regular" w:hAnsi="MinionPro-Regular"/>
          <w:sz w:val="24"/>
          <w:szCs w:val="24"/>
          <w:lang w:val="es-ES_tradnl"/>
        </w:rPr>
        <w:t xml:space="preserve">coste/plaza/año </w:t>
      </w:r>
      <w:r>
        <w:rPr>
          <w:rFonts w:ascii="MinionPro-Regular" w:hAnsi="MinionPro-Regular"/>
          <w:sz w:val="24"/>
          <w:szCs w:val="24"/>
          <w:lang w:val="es-ES_tradnl"/>
        </w:rPr>
        <w:t xml:space="preserve">a partir de los datos disponibles para </w:t>
      </w:r>
      <w:r w:rsidR="00C811E9">
        <w:rPr>
          <w:rFonts w:ascii="MinionPro-Regular" w:hAnsi="MinionPro-Regular"/>
          <w:sz w:val="24"/>
          <w:szCs w:val="24"/>
          <w:lang w:val="es-ES_tradnl"/>
        </w:rPr>
        <w:t>Castilla y León</w:t>
      </w:r>
      <w:r w:rsidR="00DC39D0">
        <w:rPr>
          <w:rFonts w:ascii="MinionPro-Regular" w:hAnsi="MinionPro-Regular"/>
          <w:sz w:val="24"/>
          <w:szCs w:val="24"/>
          <w:lang w:val="es-ES_tradnl"/>
        </w:rPr>
        <w:t xml:space="preserve">. </w:t>
      </w:r>
      <w:r w:rsidR="00DC39D0" w:rsidRPr="00842404">
        <w:rPr>
          <w:rFonts w:ascii="MinionPro-Regular" w:hAnsi="MinionPro-Regular"/>
          <w:sz w:val="24"/>
          <w:szCs w:val="24"/>
          <w:lang w:val="es-ES_tradnl"/>
        </w:rPr>
        <w:t>L</w:t>
      </w:r>
      <w:r w:rsidRPr="00DC39D0">
        <w:rPr>
          <w:rFonts w:ascii="MinionPro-Regular" w:hAnsi="MinionPro-Regular"/>
          <w:sz w:val="24"/>
          <w:szCs w:val="24"/>
          <w:lang w:val="es-ES_tradnl"/>
        </w:rPr>
        <w:t>as fuentes utilizadas han sido documentos soporte de convenios de centros ocupacionales.</w:t>
      </w:r>
    </w:p>
    <w:p w:rsidR="00AE2B42" w:rsidRPr="009B79F2" w:rsidRDefault="00AE2B42" w:rsidP="00AE2B42">
      <w:pPr>
        <w:pStyle w:val="Prrafodelista"/>
        <w:rPr>
          <w:rFonts w:ascii="MinionPro-Regular" w:hAnsi="MinionPro-Regular"/>
          <w:sz w:val="24"/>
          <w:szCs w:val="24"/>
          <w:lang w:val="es-ES_tradnl"/>
        </w:rPr>
      </w:pPr>
    </w:p>
    <w:p w:rsidR="00AE2B42" w:rsidRPr="009B79F2" w:rsidRDefault="00AE2B42" w:rsidP="00AE2B42">
      <w:pPr>
        <w:pStyle w:val="Prrafodelista"/>
        <w:autoSpaceDE w:val="0"/>
        <w:autoSpaceDN w:val="0"/>
        <w:spacing w:line="360" w:lineRule="auto"/>
        <w:ind w:left="340"/>
        <w:jc w:val="both"/>
        <w:rPr>
          <w:rFonts w:ascii="MinionPro-Regular" w:hAnsi="MinionPro-Regular"/>
          <w:sz w:val="24"/>
          <w:szCs w:val="24"/>
          <w:lang w:val="es-ES_tradnl"/>
        </w:rPr>
      </w:pPr>
      <w:r w:rsidRPr="009B79F2">
        <w:rPr>
          <w:rFonts w:ascii="MinionPro-Regular" w:hAnsi="MinionPro-Regular"/>
          <w:sz w:val="24"/>
          <w:szCs w:val="24"/>
          <w:lang w:val="es-ES_tradnl"/>
        </w:rPr>
        <w:t>Asimismo, se incluyen otros aspectos que no cabe añadir como sumandos en la estimación del retorno pero que son, no obstante, relevantes para evaluar el impacto</w:t>
      </w:r>
      <w:r>
        <w:rPr>
          <w:rFonts w:ascii="MinionPro-Regular" w:hAnsi="MinionPro-Regular"/>
          <w:sz w:val="24"/>
          <w:szCs w:val="24"/>
          <w:lang w:val="es-ES_tradnl"/>
        </w:rPr>
        <w:t xml:space="preserve"> social y económico</w:t>
      </w:r>
      <w:r w:rsidRPr="009B79F2">
        <w:rPr>
          <w:rFonts w:ascii="MinionPro-Regular" w:hAnsi="MinionPro-Regular"/>
          <w:sz w:val="24"/>
          <w:szCs w:val="24"/>
          <w:lang w:val="es-ES_tradnl"/>
        </w:rPr>
        <w:t xml:space="preserve"> de los centros especiales de empleo. Se trata de la estimación del ahorro en concepto de prestaciones por desempleo y la </w:t>
      </w:r>
      <w:r w:rsidR="00C811E9">
        <w:rPr>
          <w:rFonts w:ascii="MinionPro-Regular" w:hAnsi="MinionPro-Regular"/>
          <w:sz w:val="24"/>
          <w:szCs w:val="24"/>
          <w:lang w:val="es-ES_tradnl"/>
        </w:rPr>
        <w:t xml:space="preserve">estimación de pago en </w:t>
      </w:r>
      <w:r w:rsidRPr="009B79F2">
        <w:rPr>
          <w:rFonts w:ascii="MinionPro-Regular" w:hAnsi="MinionPro-Regular"/>
          <w:sz w:val="24"/>
          <w:szCs w:val="24"/>
          <w:lang w:val="es-ES_tradnl"/>
        </w:rPr>
        <w:t>concepto de salario a los trabajadores del centro especial de empleo.</w:t>
      </w:r>
    </w:p>
    <w:p w:rsidR="00AE2B42" w:rsidRPr="00420E31" w:rsidRDefault="00AE2B42" w:rsidP="00AE2B42">
      <w:pPr>
        <w:autoSpaceDE w:val="0"/>
        <w:autoSpaceDN w:val="0"/>
        <w:spacing w:line="360" w:lineRule="auto"/>
        <w:jc w:val="both"/>
        <w:rPr>
          <w:rFonts w:ascii="MinionPro-Regular" w:hAnsi="MinionPro-Regular"/>
          <w:sz w:val="24"/>
          <w:szCs w:val="24"/>
          <w:lang w:val="es-ES_tradnl"/>
        </w:rPr>
      </w:pPr>
    </w:p>
    <w:p w:rsidR="00AE2B42" w:rsidRPr="009B79F2" w:rsidRDefault="00AE2B42" w:rsidP="00AE2B42">
      <w:pPr>
        <w:pStyle w:val="Prrafodelista"/>
        <w:numPr>
          <w:ilvl w:val="0"/>
          <w:numId w:val="83"/>
        </w:numPr>
        <w:autoSpaceDE w:val="0"/>
        <w:autoSpaceDN w:val="0"/>
        <w:spacing w:line="360" w:lineRule="auto"/>
        <w:jc w:val="both"/>
        <w:rPr>
          <w:rFonts w:ascii="MinionPro-Regular" w:hAnsi="MinionPro-Regular"/>
          <w:sz w:val="24"/>
          <w:lang w:val="es-ES_tradnl"/>
        </w:rPr>
      </w:pPr>
      <w:r w:rsidRPr="009B79F2">
        <w:rPr>
          <w:rFonts w:ascii="MinionPro-Regular" w:hAnsi="MinionPro-Regular"/>
          <w:sz w:val="24"/>
          <w:lang w:val="es-ES_tradnl"/>
        </w:rPr>
        <w:t xml:space="preserve">En relación a las prestaciones por desempleo, se ha partido </w:t>
      </w:r>
      <w:r w:rsidR="00816FCC">
        <w:rPr>
          <w:rFonts w:ascii="MinionPro-Regular" w:hAnsi="MinionPro-Regular"/>
          <w:sz w:val="24"/>
          <w:lang w:val="es-ES_tradnl"/>
        </w:rPr>
        <w:t>del salario medio registrado en centros especiales de empleo de Castilla y León.</w:t>
      </w:r>
      <w:r w:rsidRPr="009B79F2">
        <w:rPr>
          <w:rFonts w:ascii="MinionPro-Regular" w:hAnsi="MinionPro-Regular"/>
          <w:sz w:val="24"/>
          <w:lang w:val="es-ES_tradnl"/>
        </w:rPr>
        <w:t xml:space="preserve"> Teniendo en cuenta el salario medio anual de una persona </w:t>
      </w:r>
      <w:r w:rsidR="00816FCC">
        <w:rPr>
          <w:rFonts w:ascii="MinionPro-Regular" w:hAnsi="MinionPro-Regular"/>
          <w:sz w:val="24"/>
          <w:lang w:val="es-ES_tradnl"/>
        </w:rPr>
        <w:t>empleada en un centro especial de empleo</w:t>
      </w:r>
      <w:r w:rsidRPr="009B79F2">
        <w:rPr>
          <w:rFonts w:ascii="MinionPro-Regular" w:hAnsi="MinionPro-Regular"/>
          <w:sz w:val="24"/>
          <w:lang w:val="es-ES_tradnl"/>
        </w:rPr>
        <w:t xml:space="preserve">, se ha obtenido la media de prestaciones por desempleo que percibirían </w:t>
      </w:r>
      <w:r w:rsidR="00816FCC">
        <w:rPr>
          <w:rFonts w:ascii="MinionPro-Regular" w:hAnsi="MinionPro-Regular"/>
          <w:sz w:val="24"/>
          <w:lang w:val="es-ES_tradnl"/>
        </w:rPr>
        <w:t xml:space="preserve">éstas personas </w:t>
      </w:r>
      <w:r w:rsidRPr="009B79F2">
        <w:rPr>
          <w:rFonts w:ascii="MinionPro-Regular" w:hAnsi="MinionPro-Regular"/>
          <w:sz w:val="24"/>
          <w:lang w:val="es-ES_tradnl"/>
        </w:rPr>
        <w:t xml:space="preserve">durante el primer año, en el caso de perder su empleo. Este concepto, como se ha explicado anteriormente, no se incluye directamente en el cálculo de retorno debido </w:t>
      </w:r>
      <w:r w:rsidRPr="009B79F2">
        <w:rPr>
          <w:rFonts w:ascii="MinionPro-Regular" w:hAnsi="MinionPro-Regular"/>
          <w:sz w:val="24"/>
          <w:lang w:val="es-ES_tradnl"/>
        </w:rPr>
        <w:lastRenderedPageBreak/>
        <w:t>a su carácter temporal, si bien no deja de suponer una cantidad considerable de ahorro para la Administración.</w:t>
      </w:r>
    </w:p>
    <w:p w:rsidR="00AE2B42" w:rsidRPr="009B79F2" w:rsidRDefault="00AE2B42" w:rsidP="00AE2B42">
      <w:pPr>
        <w:autoSpaceDE w:val="0"/>
        <w:autoSpaceDN w:val="0"/>
        <w:spacing w:line="360" w:lineRule="auto"/>
        <w:jc w:val="both"/>
        <w:rPr>
          <w:rFonts w:ascii="MinionPro-Regular" w:hAnsi="MinionPro-Regular"/>
          <w:sz w:val="24"/>
          <w:szCs w:val="24"/>
          <w:lang w:val="es-ES_tradnl"/>
        </w:rPr>
      </w:pPr>
    </w:p>
    <w:p w:rsidR="00AE2B42" w:rsidRPr="009B79F2" w:rsidRDefault="00AE2B42" w:rsidP="00AE2B42">
      <w:pPr>
        <w:pStyle w:val="Prrafodelista"/>
        <w:numPr>
          <w:ilvl w:val="0"/>
          <w:numId w:val="83"/>
        </w:num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Los centros especiales de empleo funcionan al igual que cualquier empresa ordinaria en términos de relaciones laborales. Esto significa que sus trabajadores reciben retribuciones económicas por el desempeño de su actividad. Se ha considerado resaltar la labor del centro especial de empleo como gene</w:t>
      </w:r>
      <w:r w:rsidRPr="00805FE6">
        <w:rPr>
          <w:rFonts w:ascii="MinionPro-Regular" w:hAnsi="MinionPro-Regular"/>
          <w:sz w:val="24"/>
          <w:szCs w:val="24"/>
          <w:lang w:val="es-ES_tradnl"/>
        </w:rPr>
        <w:t>rador de economía local y a su vez, activador de la economía familiar de sus empleados. En relación a este aspecto, se ha podido estimar el ingreso a las arcas del Estado en forma de impuestos asociados a la actividad laboral retribuida.</w:t>
      </w:r>
      <w:r>
        <w:rPr>
          <w:rFonts w:ascii="MinionPro-Regular" w:hAnsi="MinionPro-Regular"/>
          <w:sz w:val="24"/>
          <w:szCs w:val="24"/>
          <w:lang w:val="es-ES_tradnl"/>
        </w:rPr>
        <w:t xml:space="preserve"> S</w:t>
      </w:r>
      <w:r w:rsidRPr="009B79F2">
        <w:rPr>
          <w:rFonts w:ascii="MinionPro-Regular" w:hAnsi="MinionPro-Regular"/>
          <w:sz w:val="24"/>
          <w:szCs w:val="24"/>
          <w:lang w:val="es-ES_tradnl"/>
        </w:rPr>
        <w:t>in embarg</w:t>
      </w:r>
      <w:r w:rsidR="00B335F9">
        <w:rPr>
          <w:rFonts w:ascii="MinionPro-Regular" w:hAnsi="MinionPro-Regular"/>
          <w:sz w:val="24"/>
          <w:szCs w:val="24"/>
          <w:lang w:val="es-ES_tradnl"/>
        </w:rPr>
        <w:t xml:space="preserve">o, en la variable del consumo, </w:t>
      </w:r>
      <w:r w:rsidRPr="009B79F2">
        <w:rPr>
          <w:rFonts w:ascii="MinionPro-Regular" w:hAnsi="MinionPro-Regular"/>
          <w:sz w:val="24"/>
          <w:szCs w:val="24"/>
          <w:lang w:val="es-ES_tradnl"/>
        </w:rPr>
        <w:t>no se ha pod</w:t>
      </w:r>
      <w:r>
        <w:rPr>
          <w:rFonts w:ascii="MinionPro-Regular" w:hAnsi="MinionPro-Regular"/>
          <w:sz w:val="24"/>
          <w:szCs w:val="24"/>
          <w:lang w:val="es-ES_tradnl"/>
        </w:rPr>
        <w:t>ido estimar de manera indirecta</w:t>
      </w:r>
      <w:r w:rsidRPr="009B79F2">
        <w:rPr>
          <w:rFonts w:ascii="MinionPro-Regular" w:hAnsi="MinionPro-Regular"/>
          <w:sz w:val="24"/>
          <w:szCs w:val="24"/>
          <w:lang w:val="es-ES_tradnl"/>
        </w:rPr>
        <w:t xml:space="preserve"> cómo se traducen estos salarios en </w:t>
      </w:r>
      <w:r>
        <w:rPr>
          <w:rFonts w:ascii="MinionPro-Regular" w:hAnsi="MinionPro-Regular"/>
          <w:sz w:val="24"/>
          <w:szCs w:val="24"/>
          <w:lang w:val="es-ES_tradnl"/>
        </w:rPr>
        <w:t>el consumo</w:t>
      </w:r>
      <w:r w:rsidRPr="009B79F2">
        <w:rPr>
          <w:rFonts w:ascii="MinionPro-Regular" w:hAnsi="MinionPro-Regular"/>
          <w:sz w:val="24"/>
          <w:szCs w:val="24"/>
          <w:lang w:val="es-ES_tradnl"/>
        </w:rPr>
        <w:t>. Es por ello que el estudio se limita a estimar la cantidad total dedicada a los salarios en los centros especiales de empleo, y por lo tanto, por su misma naturaleza no puede enmarcarse como sumando en la actual definición de retorno económico de los centros especiales de empleo</w:t>
      </w:r>
      <w:r w:rsidR="00B335F9">
        <w:rPr>
          <w:rFonts w:ascii="MinionPro-Regular" w:hAnsi="MinionPro-Regular"/>
          <w:sz w:val="24"/>
          <w:szCs w:val="24"/>
          <w:lang w:val="es-ES_tradnl"/>
        </w:rPr>
        <w:t>.</w:t>
      </w:r>
    </w:p>
    <w:p w:rsidR="00AE2B42" w:rsidRDefault="00AE2B42" w:rsidP="00AE2B42">
      <w:pPr>
        <w:pBdr>
          <w:bottom w:val="single" w:sz="4" w:space="1" w:color="auto"/>
        </w:pBdr>
        <w:autoSpaceDE w:val="0"/>
        <w:autoSpaceDN w:val="0"/>
        <w:spacing w:line="360" w:lineRule="auto"/>
        <w:jc w:val="both"/>
        <w:rPr>
          <w:rFonts w:ascii="MinionPro-Regular" w:hAnsi="MinionPro-Regular"/>
          <w:sz w:val="20"/>
          <w:szCs w:val="24"/>
          <w:lang w:val="es-ES_tradnl"/>
        </w:rPr>
      </w:pPr>
    </w:p>
    <w:p w:rsidR="00AE2B42" w:rsidRDefault="00AE2B42" w:rsidP="00AE2B42">
      <w:pPr>
        <w:pBdr>
          <w:bottom w:val="single" w:sz="4" w:space="1" w:color="auto"/>
        </w:pBdr>
        <w:autoSpaceDE w:val="0"/>
        <w:autoSpaceDN w:val="0"/>
        <w:spacing w:line="360" w:lineRule="auto"/>
        <w:jc w:val="both"/>
        <w:rPr>
          <w:rFonts w:ascii="MinionPro-Regular" w:hAnsi="MinionPro-Regular"/>
          <w:sz w:val="20"/>
          <w:szCs w:val="24"/>
          <w:lang w:val="es-ES_tradnl"/>
        </w:rPr>
      </w:pPr>
    </w:p>
    <w:p w:rsidR="00AE2B42" w:rsidRPr="004D5933" w:rsidRDefault="00AE2B42" w:rsidP="00AE2B42">
      <w:pPr>
        <w:pBdr>
          <w:top w:val="single" w:sz="4" w:space="1" w:color="auto"/>
        </w:pBdr>
        <w:autoSpaceDE w:val="0"/>
        <w:autoSpaceDN w:val="0"/>
        <w:spacing w:line="360" w:lineRule="auto"/>
        <w:jc w:val="both"/>
        <w:rPr>
          <w:rFonts w:ascii="MinionPro-Regular" w:hAnsi="MinionPro-Regular"/>
          <w:sz w:val="20"/>
          <w:szCs w:val="24"/>
          <w:lang w:val="es-ES_tradnl"/>
        </w:rPr>
      </w:pPr>
      <w:r w:rsidRPr="0081432A">
        <w:rPr>
          <w:rFonts w:ascii="MinionPro-Regular" w:hAnsi="MinionPro-Regular"/>
          <w:sz w:val="20"/>
          <w:szCs w:val="24"/>
          <w:lang w:val="es-ES_tradnl"/>
        </w:rPr>
        <w:t>Cuadro resumen con las variables de ayudas y retornos que se han tenido en cuenta en el análisis del impacto de los centros especiales de empleo</w:t>
      </w:r>
    </w:p>
    <w:p w:rsidR="00AE2B42" w:rsidRDefault="00AE2B42" w:rsidP="00AE2B42">
      <w:pPr>
        <w:autoSpaceDE w:val="0"/>
        <w:autoSpaceDN w:val="0"/>
        <w:spacing w:line="360" w:lineRule="auto"/>
        <w:jc w:val="both"/>
        <w:rPr>
          <w:rFonts w:ascii="MinionPro-Regular" w:hAnsi="MinionPro-Regular"/>
          <w:sz w:val="24"/>
          <w:szCs w:val="24"/>
          <w:lang w:val="es-ES_tradnl"/>
        </w:rPr>
      </w:pPr>
    </w:p>
    <w:tbl>
      <w:tblPr>
        <w:tblW w:w="4938" w:type="pct"/>
        <w:tblBorders>
          <w:bottom w:val="single" w:sz="12" w:space="0" w:color="409DAD"/>
        </w:tblBorders>
        <w:tblCellMar>
          <w:top w:w="28" w:type="dxa"/>
          <w:left w:w="28" w:type="dxa"/>
          <w:bottom w:w="28" w:type="dxa"/>
          <w:right w:w="28" w:type="dxa"/>
        </w:tblCellMar>
        <w:tblLook w:val="00A0"/>
      </w:tblPr>
      <w:tblGrid>
        <w:gridCol w:w="4380"/>
        <w:gridCol w:w="4075"/>
      </w:tblGrid>
      <w:tr w:rsidR="00AE2B42" w:rsidRPr="005158FF" w:rsidTr="00E12CA5">
        <w:trPr>
          <w:trHeight w:val="597"/>
        </w:trPr>
        <w:tc>
          <w:tcPr>
            <w:tcW w:w="2590" w:type="pct"/>
            <w:tcBorders>
              <w:bottom w:val="nil"/>
            </w:tcBorders>
            <w:shd w:val="clear" w:color="auto" w:fill="409DAD"/>
            <w:vAlign w:val="center"/>
          </w:tcPr>
          <w:p w:rsidR="00AE2B42" w:rsidRPr="00A62C1C" w:rsidRDefault="00AE2B42" w:rsidP="00E12CA5">
            <w:pPr>
              <w:spacing w:line="180" w:lineRule="atLeast"/>
              <w:jc w:val="center"/>
              <w:rPr>
                <w:rFonts w:ascii="MinionPro-Regular" w:hAnsi="MinionPro-Regular"/>
                <w:b/>
                <w:color w:val="FFFFFF"/>
                <w:lang w:val="es-ES_tradnl"/>
              </w:rPr>
            </w:pPr>
            <w:r w:rsidRPr="00A62C1C">
              <w:rPr>
                <w:rFonts w:ascii="MinionPro-Regular" w:hAnsi="MinionPro-Regular"/>
                <w:b/>
                <w:color w:val="FFFFFF"/>
                <w:lang w:val="es-ES_tradnl"/>
              </w:rPr>
              <w:t>Ayudas de la administración pública</w:t>
            </w:r>
          </w:p>
        </w:tc>
        <w:tc>
          <w:tcPr>
            <w:tcW w:w="2410" w:type="pct"/>
            <w:tcBorders>
              <w:bottom w:val="nil"/>
            </w:tcBorders>
            <w:shd w:val="clear" w:color="auto" w:fill="409DAD"/>
            <w:vAlign w:val="center"/>
          </w:tcPr>
          <w:p w:rsidR="00AE2B42" w:rsidRPr="00A62C1C" w:rsidRDefault="00AE2B42" w:rsidP="00E12CA5">
            <w:pPr>
              <w:spacing w:line="180" w:lineRule="atLeast"/>
              <w:jc w:val="center"/>
              <w:rPr>
                <w:rFonts w:ascii="MinionPro-Regular" w:hAnsi="MinionPro-Regular"/>
                <w:b/>
                <w:color w:val="FFFFFF"/>
                <w:lang w:val="es-ES_tradnl"/>
              </w:rPr>
            </w:pPr>
            <w:r w:rsidRPr="00A62C1C">
              <w:rPr>
                <w:rFonts w:ascii="MinionPro-Regular" w:hAnsi="MinionPro-Regular"/>
                <w:b/>
                <w:color w:val="FFFFFF"/>
                <w:lang w:val="es-ES_tradnl"/>
              </w:rPr>
              <w:t>Retorno de los centros especiales de empleo</w:t>
            </w:r>
          </w:p>
        </w:tc>
      </w:tr>
      <w:tr w:rsidR="00AE2B42" w:rsidRPr="005158FF" w:rsidTr="00E12CA5">
        <w:trPr>
          <w:trHeight w:val="290"/>
        </w:trPr>
        <w:tc>
          <w:tcPr>
            <w:tcW w:w="5000" w:type="pct"/>
            <w:gridSpan w:val="2"/>
            <w:tcBorders>
              <w:bottom w:val="single" w:sz="4" w:space="0" w:color="auto"/>
            </w:tcBorders>
            <w:vAlign w:val="center"/>
          </w:tcPr>
          <w:p w:rsidR="00AE2B42" w:rsidRPr="00A62C1C" w:rsidRDefault="00AE2B42" w:rsidP="00E12CA5">
            <w:pPr>
              <w:spacing w:line="180" w:lineRule="atLeast"/>
              <w:jc w:val="center"/>
              <w:rPr>
                <w:rFonts w:ascii="MinionPro-Regular" w:hAnsi="MinionPro-Regular"/>
                <w:b/>
                <w:lang w:val="es-ES_tradnl"/>
              </w:rPr>
            </w:pPr>
            <w:r w:rsidRPr="00A62C1C">
              <w:rPr>
                <w:rFonts w:ascii="MinionPro-Regular" w:hAnsi="MinionPro-Regular"/>
                <w:b/>
                <w:lang w:val="es-ES_tradnl"/>
              </w:rPr>
              <w:t>Con salida de efectivo</w:t>
            </w:r>
          </w:p>
        </w:tc>
      </w:tr>
      <w:tr w:rsidR="00AE2B42" w:rsidRPr="005158FF" w:rsidTr="00E12CA5">
        <w:trPr>
          <w:trHeight w:val="290"/>
        </w:trPr>
        <w:tc>
          <w:tcPr>
            <w:tcW w:w="2590" w:type="pct"/>
            <w:vMerge w:val="restart"/>
            <w:tcBorders>
              <w:top w:val="single" w:sz="4" w:space="0" w:color="auto"/>
            </w:tcBorders>
            <w:vAlign w:val="center"/>
          </w:tcPr>
          <w:p w:rsidR="00AE2B42" w:rsidRPr="00A62C1C" w:rsidRDefault="00AE2B42" w:rsidP="00E12CA5">
            <w:pPr>
              <w:spacing w:line="180" w:lineRule="atLeast"/>
              <w:rPr>
                <w:rFonts w:ascii="MinionPro-Regular" w:hAnsi="MinionPro-Regular"/>
                <w:b/>
                <w:lang w:val="es-ES_tradnl"/>
              </w:rPr>
            </w:pPr>
            <w:r w:rsidRPr="00A62C1C">
              <w:rPr>
                <w:rFonts w:ascii="MinionPro-Regular" w:hAnsi="MinionPro-Regular"/>
                <w:b/>
                <w:lang w:val="es-ES_tradnl"/>
              </w:rPr>
              <w:t>Compromiso de gasto para centros especiales de empleo</w:t>
            </w:r>
          </w:p>
        </w:tc>
        <w:tc>
          <w:tcPr>
            <w:tcW w:w="2410" w:type="pct"/>
            <w:tcBorders>
              <w:top w:val="single" w:sz="4" w:space="0" w:color="auto"/>
            </w:tcBorders>
            <w:vAlign w:val="center"/>
          </w:tcPr>
          <w:p w:rsidR="00AE2B42" w:rsidRPr="00A62C1C" w:rsidRDefault="00AE2B42" w:rsidP="00E12CA5">
            <w:pPr>
              <w:spacing w:line="180" w:lineRule="atLeast"/>
              <w:rPr>
                <w:rFonts w:ascii="MinionPro-Regular" w:hAnsi="MinionPro-Regular"/>
                <w:lang w:val="es-ES_tradnl"/>
              </w:rPr>
            </w:pPr>
            <w:r w:rsidRPr="00A62C1C">
              <w:rPr>
                <w:rFonts w:ascii="MinionPro-Regular" w:hAnsi="MinionPro-Regular"/>
                <w:lang w:val="es-ES_tradnl"/>
              </w:rPr>
              <w:t>IRPF y seguridad social</w:t>
            </w:r>
          </w:p>
        </w:tc>
      </w:tr>
      <w:tr w:rsidR="00AE2B42" w:rsidRPr="005158FF" w:rsidTr="00E12CA5">
        <w:trPr>
          <w:trHeight w:val="164"/>
        </w:trPr>
        <w:tc>
          <w:tcPr>
            <w:tcW w:w="2590" w:type="pct"/>
            <w:vMerge/>
            <w:vAlign w:val="center"/>
          </w:tcPr>
          <w:p w:rsidR="00AE2B42" w:rsidRPr="00A62C1C" w:rsidRDefault="00AE2B42" w:rsidP="00E12CA5">
            <w:pPr>
              <w:spacing w:line="180" w:lineRule="atLeast"/>
              <w:rPr>
                <w:rFonts w:ascii="MinionPro-Regular" w:hAnsi="MinionPro-Regular"/>
                <w:b/>
                <w:lang w:val="es-ES_tradnl"/>
              </w:rPr>
            </w:pPr>
          </w:p>
        </w:tc>
        <w:tc>
          <w:tcPr>
            <w:tcW w:w="2410" w:type="pct"/>
            <w:vAlign w:val="center"/>
          </w:tcPr>
          <w:p w:rsidR="00AE2B42" w:rsidRPr="00A62C1C" w:rsidRDefault="00AE2B42" w:rsidP="00E12CA5">
            <w:pPr>
              <w:spacing w:line="180" w:lineRule="atLeast"/>
              <w:rPr>
                <w:rFonts w:ascii="MinionPro-Regular" w:hAnsi="MinionPro-Regular"/>
                <w:lang w:val="es-ES_tradnl"/>
              </w:rPr>
            </w:pPr>
            <w:r w:rsidRPr="00A62C1C">
              <w:rPr>
                <w:rFonts w:ascii="MinionPro-Regular" w:hAnsi="MinionPro-Regular"/>
                <w:lang w:val="es-ES_tradnl"/>
              </w:rPr>
              <w:t>Impuestos indirectos (IVA)</w:t>
            </w:r>
          </w:p>
        </w:tc>
      </w:tr>
      <w:tr w:rsidR="00AE2B42" w:rsidRPr="005158FF" w:rsidTr="00E12CA5">
        <w:trPr>
          <w:trHeight w:val="164"/>
        </w:trPr>
        <w:tc>
          <w:tcPr>
            <w:tcW w:w="2590" w:type="pct"/>
            <w:vMerge/>
            <w:tcBorders>
              <w:bottom w:val="nil"/>
            </w:tcBorders>
            <w:vAlign w:val="center"/>
          </w:tcPr>
          <w:p w:rsidR="00AE2B42" w:rsidRPr="00A62C1C" w:rsidRDefault="00AE2B42" w:rsidP="00E12CA5">
            <w:pPr>
              <w:spacing w:line="180" w:lineRule="atLeast"/>
              <w:rPr>
                <w:rFonts w:ascii="MinionPro-Regular" w:hAnsi="MinionPro-Regular"/>
                <w:lang w:val="es-ES_tradnl"/>
              </w:rPr>
            </w:pPr>
          </w:p>
        </w:tc>
        <w:tc>
          <w:tcPr>
            <w:tcW w:w="2410" w:type="pct"/>
            <w:tcBorders>
              <w:bottom w:val="nil"/>
            </w:tcBorders>
            <w:vAlign w:val="center"/>
          </w:tcPr>
          <w:p w:rsidR="00AE2B42" w:rsidRPr="00A62C1C" w:rsidRDefault="00AE2B42" w:rsidP="00E12CA5">
            <w:pPr>
              <w:spacing w:line="180" w:lineRule="atLeast"/>
              <w:rPr>
                <w:rFonts w:ascii="MinionPro-Regular" w:hAnsi="MinionPro-Regular"/>
                <w:lang w:val="es-ES_tradnl"/>
              </w:rPr>
            </w:pPr>
            <w:r w:rsidRPr="00A62C1C">
              <w:rPr>
                <w:rFonts w:ascii="MinionPro-Regular" w:hAnsi="MinionPro-Regular"/>
                <w:lang w:val="es-ES_tradnl"/>
              </w:rPr>
              <w:t>Impuesto de sociedades</w:t>
            </w:r>
          </w:p>
        </w:tc>
      </w:tr>
      <w:tr w:rsidR="00AE2B42" w:rsidRPr="005158FF" w:rsidTr="00E12CA5">
        <w:trPr>
          <w:trHeight w:val="307"/>
        </w:trPr>
        <w:tc>
          <w:tcPr>
            <w:tcW w:w="5000" w:type="pct"/>
            <w:gridSpan w:val="2"/>
            <w:tcBorders>
              <w:bottom w:val="single" w:sz="4" w:space="0" w:color="auto"/>
            </w:tcBorders>
            <w:vAlign w:val="center"/>
          </w:tcPr>
          <w:p w:rsidR="00AE2B42" w:rsidRPr="00A62C1C" w:rsidRDefault="00AE2B42" w:rsidP="00E12CA5">
            <w:pPr>
              <w:spacing w:line="180" w:lineRule="atLeast"/>
              <w:jc w:val="center"/>
              <w:rPr>
                <w:rFonts w:ascii="MinionPro-Regular" w:hAnsi="MinionPro-Regular"/>
                <w:b/>
                <w:lang w:val="es-ES_tradnl"/>
              </w:rPr>
            </w:pPr>
            <w:r w:rsidRPr="00A62C1C">
              <w:rPr>
                <w:rFonts w:ascii="MinionPro-Regular" w:hAnsi="MinionPro-Regular"/>
                <w:b/>
                <w:lang w:val="es-ES_tradnl"/>
              </w:rPr>
              <w:t>Sin salida de efectivo</w:t>
            </w:r>
          </w:p>
        </w:tc>
      </w:tr>
      <w:tr w:rsidR="00AE2B42" w:rsidRPr="005158FF" w:rsidTr="00E12CA5">
        <w:trPr>
          <w:trHeight w:val="290"/>
        </w:trPr>
        <w:tc>
          <w:tcPr>
            <w:tcW w:w="2590" w:type="pct"/>
            <w:vMerge w:val="restart"/>
            <w:tcBorders>
              <w:top w:val="single" w:sz="4" w:space="0" w:color="auto"/>
            </w:tcBorders>
            <w:vAlign w:val="center"/>
          </w:tcPr>
          <w:p w:rsidR="00AE2B42" w:rsidRPr="00A62C1C" w:rsidRDefault="00AE2B42" w:rsidP="00E12CA5">
            <w:pPr>
              <w:spacing w:line="180" w:lineRule="atLeast"/>
              <w:rPr>
                <w:rFonts w:ascii="MinionPro-Regular" w:hAnsi="MinionPro-Regular"/>
                <w:b/>
                <w:lang w:val="es-ES_tradnl"/>
              </w:rPr>
            </w:pPr>
            <w:r w:rsidRPr="00A62C1C">
              <w:rPr>
                <w:rFonts w:ascii="MinionPro-Regular" w:hAnsi="MinionPro-Regular"/>
                <w:b/>
                <w:lang w:val="es-ES_tradnl"/>
              </w:rPr>
              <w:t>Bonificación 100% cuota empresarial de la seguridad social</w:t>
            </w:r>
          </w:p>
        </w:tc>
        <w:tc>
          <w:tcPr>
            <w:tcW w:w="2410" w:type="pct"/>
            <w:tcBorders>
              <w:top w:val="single" w:sz="4" w:space="0" w:color="auto"/>
            </w:tcBorders>
            <w:vAlign w:val="center"/>
          </w:tcPr>
          <w:p w:rsidR="00AE2B42" w:rsidRPr="00A62C1C" w:rsidRDefault="00AE2B42" w:rsidP="00E12CA5">
            <w:pPr>
              <w:spacing w:line="180" w:lineRule="atLeast"/>
              <w:rPr>
                <w:rFonts w:ascii="MinionPro-Regular" w:hAnsi="MinionPro-Regular"/>
                <w:lang w:val="es-ES_tradnl"/>
              </w:rPr>
            </w:pPr>
            <w:r w:rsidRPr="00A62C1C">
              <w:rPr>
                <w:rFonts w:ascii="MinionPro-Regular" w:hAnsi="MinionPro-Regular"/>
                <w:lang w:val="es-ES_tradnl"/>
              </w:rPr>
              <w:t>Ayudas LISMI</w:t>
            </w:r>
          </w:p>
        </w:tc>
      </w:tr>
      <w:tr w:rsidR="00AE2B42" w:rsidRPr="005158FF" w:rsidTr="00E12CA5">
        <w:trPr>
          <w:trHeight w:val="164"/>
        </w:trPr>
        <w:tc>
          <w:tcPr>
            <w:tcW w:w="2590" w:type="pct"/>
            <w:vMerge/>
            <w:vAlign w:val="center"/>
          </w:tcPr>
          <w:p w:rsidR="00AE2B42" w:rsidRPr="00A62C1C" w:rsidRDefault="00AE2B42" w:rsidP="00E12CA5">
            <w:pPr>
              <w:spacing w:line="180" w:lineRule="atLeast"/>
              <w:rPr>
                <w:rFonts w:ascii="MinionPro-Regular" w:hAnsi="MinionPro-Regular"/>
                <w:lang w:val="es-ES_tradnl"/>
              </w:rPr>
            </w:pPr>
          </w:p>
        </w:tc>
        <w:tc>
          <w:tcPr>
            <w:tcW w:w="2410" w:type="pct"/>
            <w:vAlign w:val="center"/>
          </w:tcPr>
          <w:p w:rsidR="00AE2B42" w:rsidRPr="00A62C1C" w:rsidRDefault="00AE2B42" w:rsidP="00E12CA5">
            <w:pPr>
              <w:spacing w:line="180" w:lineRule="atLeast"/>
              <w:rPr>
                <w:rFonts w:ascii="MinionPro-Regular" w:hAnsi="MinionPro-Regular"/>
                <w:lang w:val="es-ES_tradnl"/>
              </w:rPr>
            </w:pPr>
            <w:r w:rsidRPr="00A62C1C">
              <w:rPr>
                <w:rFonts w:ascii="MinionPro-Regular" w:hAnsi="MinionPro-Regular"/>
                <w:lang w:val="es-ES_tradnl"/>
              </w:rPr>
              <w:t>Pensiones no contributivas</w:t>
            </w:r>
          </w:p>
        </w:tc>
      </w:tr>
      <w:tr w:rsidR="00AE2B42" w:rsidRPr="005158FF" w:rsidTr="00E12CA5">
        <w:trPr>
          <w:trHeight w:val="164"/>
        </w:trPr>
        <w:tc>
          <w:tcPr>
            <w:tcW w:w="2590" w:type="pct"/>
            <w:vMerge/>
            <w:vAlign w:val="center"/>
          </w:tcPr>
          <w:p w:rsidR="00AE2B42" w:rsidRPr="00A62C1C" w:rsidRDefault="00AE2B42" w:rsidP="00E12CA5">
            <w:pPr>
              <w:spacing w:line="180" w:lineRule="atLeast"/>
              <w:rPr>
                <w:rFonts w:ascii="MinionPro-Regular" w:hAnsi="MinionPro-Regular"/>
                <w:b/>
                <w:lang w:val="es-ES_tradnl"/>
              </w:rPr>
            </w:pPr>
          </w:p>
        </w:tc>
        <w:tc>
          <w:tcPr>
            <w:tcW w:w="2410" w:type="pct"/>
            <w:vAlign w:val="center"/>
          </w:tcPr>
          <w:p w:rsidR="00AE2B42" w:rsidRPr="00A62C1C" w:rsidRDefault="00AE2B42" w:rsidP="00E12CA5">
            <w:pPr>
              <w:spacing w:line="180" w:lineRule="atLeast"/>
              <w:rPr>
                <w:rFonts w:ascii="MinionPro-Regular" w:hAnsi="MinionPro-Regular"/>
                <w:lang w:val="es-ES_tradnl"/>
              </w:rPr>
            </w:pPr>
            <w:r w:rsidRPr="00A62C1C">
              <w:rPr>
                <w:rFonts w:ascii="MinionPro-Regular" w:hAnsi="MinionPro-Regular"/>
                <w:lang w:val="es-ES_tradnl"/>
              </w:rPr>
              <w:t>Pensiones contributivas</w:t>
            </w:r>
          </w:p>
        </w:tc>
      </w:tr>
      <w:tr w:rsidR="00AE2B42" w:rsidRPr="005158FF" w:rsidTr="00E12CA5">
        <w:trPr>
          <w:trHeight w:val="164"/>
        </w:trPr>
        <w:tc>
          <w:tcPr>
            <w:tcW w:w="2590" w:type="pct"/>
            <w:vMerge/>
            <w:vAlign w:val="center"/>
          </w:tcPr>
          <w:p w:rsidR="00AE2B42" w:rsidRPr="00A62C1C" w:rsidRDefault="00AE2B42" w:rsidP="00E12CA5">
            <w:pPr>
              <w:spacing w:line="180" w:lineRule="atLeast"/>
              <w:rPr>
                <w:rFonts w:ascii="MinionPro-Regular" w:hAnsi="MinionPro-Regular"/>
                <w:b/>
                <w:lang w:val="es-ES_tradnl"/>
              </w:rPr>
            </w:pPr>
          </w:p>
        </w:tc>
        <w:tc>
          <w:tcPr>
            <w:tcW w:w="2410" w:type="pct"/>
            <w:vAlign w:val="center"/>
          </w:tcPr>
          <w:p w:rsidR="00AE2B42" w:rsidRPr="00A62C1C" w:rsidRDefault="00AE2B42" w:rsidP="00E12CA5">
            <w:pPr>
              <w:spacing w:line="180" w:lineRule="atLeast"/>
              <w:rPr>
                <w:rFonts w:ascii="MinionPro-Regular" w:hAnsi="MinionPro-Regular"/>
                <w:lang w:val="es-ES_tradnl"/>
              </w:rPr>
            </w:pPr>
            <w:r w:rsidRPr="00A62C1C">
              <w:rPr>
                <w:rFonts w:ascii="MinionPro-Regular" w:hAnsi="MinionPro-Regular"/>
                <w:lang w:val="es-ES_tradnl"/>
              </w:rPr>
              <w:t>Ahorro en gasto sanitario</w:t>
            </w:r>
          </w:p>
        </w:tc>
      </w:tr>
      <w:tr w:rsidR="00AE2B42" w:rsidRPr="005158FF" w:rsidTr="00E12CA5">
        <w:trPr>
          <w:trHeight w:val="164"/>
        </w:trPr>
        <w:tc>
          <w:tcPr>
            <w:tcW w:w="2590" w:type="pct"/>
            <w:vMerge/>
            <w:tcBorders>
              <w:bottom w:val="single" w:sz="4" w:space="0" w:color="auto"/>
            </w:tcBorders>
            <w:vAlign w:val="center"/>
          </w:tcPr>
          <w:p w:rsidR="00AE2B42" w:rsidRPr="00A62C1C" w:rsidRDefault="00AE2B42" w:rsidP="00E12CA5">
            <w:pPr>
              <w:spacing w:line="180" w:lineRule="atLeast"/>
              <w:rPr>
                <w:rFonts w:ascii="MinionPro-Regular" w:hAnsi="MinionPro-Regular"/>
                <w:lang w:val="es-ES_tradnl"/>
              </w:rPr>
            </w:pPr>
          </w:p>
        </w:tc>
        <w:tc>
          <w:tcPr>
            <w:tcW w:w="2410" w:type="pct"/>
            <w:tcBorders>
              <w:bottom w:val="single" w:sz="4" w:space="0" w:color="auto"/>
            </w:tcBorders>
            <w:vAlign w:val="center"/>
          </w:tcPr>
          <w:p w:rsidR="00AE2B42" w:rsidRPr="00A62C1C" w:rsidRDefault="00AE2B42" w:rsidP="00E12CA5">
            <w:pPr>
              <w:spacing w:line="180" w:lineRule="atLeast"/>
              <w:rPr>
                <w:rFonts w:ascii="MinionPro-Regular" w:hAnsi="MinionPro-Regular"/>
                <w:lang w:val="es-ES_tradnl"/>
              </w:rPr>
            </w:pPr>
            <w:r>
              <w:rPr>
                <w:rFonts w:ascii="MinionPro-Regular" w:hAnsi="MinionPro-Regular"/>
                <w:lang w:val="es-ES_tradnl"/>
              </w:rPr>
              <w:t>Ahorro en plazas ocupacionales</w:t>
            </w:r>
          </w:p>
        </w:tc>
      </w:tr>
      <w:tr w:rsidR="00AE2B42" w:rsidRPr="005158FF" w:rsidTr="00E12CA5">
        <w:trPr>
          <w:trHeight w:val="164"/>
        </w:trPr>
        <w:tc>
          <w:tcPr>
            <w:tcW w:w="5000" w:type="pct"/>
            <w:gridSpan w:val="2"/>
            <w:tcBorders>
              <w:top w:val="single" w:sz="4" w:space="0" w:color="auto"/>
              <w:bottom w:val="nil"/>
            </w:tcBorders>
            <w:vAlign w:val="center"/>
          </w:tcPr>
          <w:p w:rsidR="00AE2B42" w:rsidRDefault="00AE2B42" w:rsidP="00E12CA5">
            <w:pPr>
              <w:spacing w:line="180" w:lineRule="atLeast"/>
              <w:rPr>
                <w:rFonts w:ascii="MinionPro-Regular" w:hAnsi="MinionPro-Regular"/>
                <w:lang w:val="es-ES_tradnl"/>
              </w:rPr>
            </w:pPr>
            <w:r w:rsidRPr="003063D9">
              <w:rPr>
                <w:rFonts w:ascii="MinionPro-Regular" w:hAnsi="MinionPro-Regular"/>
                <w:b/>
                <w:lang w:val="es-ES_tradnl"/>
              </w:rPr>
              <w:t>Otras aspectos a tener en cuenta</w:t>
            </w:r>
            <w:r>
              <w:rPr>
                <w:rFonts w:ascii="MinionPro-Regular" w:hAnsi="MinionPro-Regular"/>
                <w:b/>
                <w:lang w:val="es-ES_tradnl"/>
              </w:rPr>
              <w:t>, aunque no se contabilizan en el retorno económico</w:t>
            </w:r>
          </w:p>
        </w:tc>
      </w:tr>
      <w:tr w:rsidR="00AE2B42" w:rsidRPr="005158FF" w:rsidTr="00E12CA5">
        <w:trPr>
          <w:trHeight w:val="164"/>
        </w:trPr>
        <w:tc>
          <w:tcPr>
            <w:tcW w:w="5000" w:type="pct"/>
            <w:gridSpan w:val="2"/>
            <w:tcBorders>
              <w:top w:val="nil"/>
              <w:bottom w:val="nil"/>
            </w:tcBorders>
            <w:vAlign w:val="center"/>
          </w:tcPr>
          <w:p w:rsidR="00AE2B42" w:rsidRPr="001624DD" w:rsidRDefault="00AE2B42" w:rsidP="00E12CA5">
            <w:pPr>
              <w:spacing w:line="180" w:lineRule="atLeast"/>
              <w:rPr>
                <w:rFonts w:ascii="MinionPro-Regular" w:hAnsi="MinionPro-Regular"/>
              </w:rPr>
            </w:pPr>
            <w:r>
              <w:rPr>
                <w:rFonts w:ascii="MinionPro-Regular" w:hAnsi="MinionPro-Regular"/>
                <w:lang w:val="es-ES_tradnl"/>
              </w:rPr>
              <w:lastRenderedPageBreak/>
              <w:t>Ahorro en prestaciones por desempleo</w:t>
            </w:r>
          </w:p>
        </w:tc>
      </w:tr>
      <w:tr w:rsidR="00AE2B42" w:rsidRPr="005158FF" w:rsidTr="00E12CA5">
        <w:trPr>
          <w:trHeight w:val="164"/>
        </w:trPr>
        <w:tc>
          <w:tcPr>
            <w:tcW w:w="5000" w:type="pct"/>
            <w:gridSpan w:val="2"/>
            <w:tcBorders>
              <w:top w:val="nil"/>
              <w:bottom w:val="single" w:sz="4" w:space="0" w:color="auto"/>
            </w:tcBorders>
            <w:vAlign w:val="center"/>
          </w:tcPr>
          <w:p w:rsidR="00AE2B42" w:rsidRPr="003063D9" w:rsidRDefault="00AE2B42" w:rsidP="00E12CA5">
            <w:pPr>
              <w:spacing w:line="180" w:lineRule="atLeast"/>
              <w:rPr>
                <w:rFonts w:ascii="MinionPro-Regular" w:hAnsi="MinionPro-Regular"/>
                <w:b/>
                <w:lang w:val="es-ES_tradnl"/>
              </w:rPr>
            </w:pPr>
            <w:r>
              <w:rPr>
                <w:rFonts w:ascii="MinionPro-Regular" w:hAnsi="MinionPro-Regular"/>
                <w:lang w:val="es-ES_tradnl"/>
              </w:rPr>
              <w:t>Pago en salarios de los trabajadores de centros especiales de empleo</w:t>
            </w:r>
          </w:p>
        </w:tc>
      </w:tr>
    </w:tbl>
    <w:p w:rsidR="00AE2B42" w:rsidRDefault="00AE2B42" w:rsidP="00AE2B42">
      <w:pPr>
        <w:pBdr>
          <w:bottom w:val="single" w:sz="4" w:space="1" w:color="auto"/>
        </w:pBdr>
        <w:autoSpaceDE w:val="0"/>
        <w:autoSpaceDN w:val="0"/>
        <w:spacing w:line="360" w:lineRule="auto"/>
        <w:jc w:val="both"/>
        <w:rPr>
          <w:rFonts w:ascii="MinionPro-Regular" w:hAnsi="MinionPro-Regular"/>
          <w:sz w:val="20"/>
          <w:szCs w:val="24"/>
          <w:lang w:val="es-ES_tradnl"/>
        </w:rPr>
      </w:pPr>
    </w:p>
    <w:p w:rsidR="00AE2B42" w:rsidRPr="00891BAF" w:rsidRDefault="00AE2B42" w:rsidP="00AE2B42">
      <w:pPr>
        <w:pBdr>
          <w:bottom w:val="single" w:sz="4" w:space="1" w:color="auto"/>
        </w:pBdr>
        <w:autoSpaceDE w:val="0"/>
        <w:autoSpaceDN w:val="0"/>
        <w:spacing w:line="360" w:lineRule="auto"/>
        <w:jc w:val="both"/>
        <w:rPr>
          <w:rFonts w:ascii="MinionPro-Regular" w:hAnsi="MinionPro-Regular"/>
          <w:sz w:val="20"/>
          <w:szCs w:val="24"/>
          <w:lang w:val="es-ES_tradnl"/>
        </w:rPr>
      </w:pPr>
      <w:r w:rsidRPr="00891BAF">
        <w:rPr>
          <w:rFonts w:ascii="MinionPro-Regular" w:hAnsi="MinionPro-Regular"/>
          <w:sz w:val="20"/>
          <w:szCs w:val="24"/>
          <w:lang w:val="es-ES_tradnl"/>
        </w:rPr>
        <w:t xml:space="preserve">Fuente: </w:t>
      </w:r>
      <w:r>
        <w:rPr>
          <w:rFonts w:ascii="MinionPro-Regular" w:hAnsi="MinionPro-Regular"/>
          <w:sz w:val="20"/>
          <w:szCs w:val="24"/>
          <w:lang w:val="es-ES_tradnl"/>
        </w:rPr>
        <w:t>E</w:t>
      </w:r>
      <w:r w:rsidRPr="00891BAF">
        <w:rPr>
          <w:rFonts w:ascii="MinionPro-Regular" w:hAnsi="MinionPro-Regular"/>
          <w:sz w:val="20"/>
          <w:szCs w:val="24"/>
          <w:lang w:val="es-ES_tradnl"/>
        </w:rPr>
        <w:t>laboración propia</w:t>
      </w:r>
    </w:p>
    <w:p w:rsidR="00AE2B42" w:rsidRDefault="00AE2B42" w:rsidP="00842404">
      <w:pPr>
        <w:pStyle w:val="Textoindependiente"/>
      </w:pPr>
    </w:p>
    <w:p w:rsidR="00AE2B42" w:rsidRDefault="00AE2B42" w:rsidP="00842404">
      <w:pPr>
        <w:pStyle w:val="Textoindependiente"/>
        <w:pBdr>
          <w:bottom w:val="single" w:sz="12" w:space="1" w:color="auto"/>
        </w:pBdr>
      </w:pPr>
    </w:p>
    <w:p w:rsidR="00AE2B42" w:rsidRDefault="00AE2B42" w:rsidP="00842404">
      <w:pPr>
        <w:pStyle w:val="Textoindependiente"/>
      </w:pPr>
    </w:p>
    <w:p w:rsidR="00B335F9" w:rsidRPr="00267483" w:rsidRDefault="00B335F9" w:rsidP="00842404">
      <w:pPr>
        <w:pStyle w:val="Ttulo2"/>
      </w:pPr>
      <w:bookmarkStart w:id="14" w:name="_Toc410916862"/>
      <w:r w:rsidRPr="00267483">
        <w:t>Estimación del retorno de los Centros Especiales de Empleo de Castilla y León</w:t>
      </w:r>
      <w:bookmarkEnd w:id="14"/>
    </w:p>
    <w:p w:rsidR="00B335F9" w:rsidRDefault="00B335F9" w:rsidP="00842404">
      <w:pPr>
        <w:pStyle w:val="Textoindependiente"/>
      </w:pPr>
    </w:p>
    <w:p w:rsidR="00FF7113" w:rsidRDefault="00FF7113" w:rsidP="00FF7113">
      <w:pPr>
        <w:autoSpaceDE w:val="0"/>
        <w:autoSpaceDN w:val="0"/>
        <w:spacing w:line="360" w:lineRule="auto"/>
        <w:jc w:val="both"/>
        <w:rPr>
          <w:rFonts w:ascii="MinionPro-Regular" w:hAnsi="MinionPro-Regular"/>
          <w:sz w:val="24"/>
          <w:szCs w:val="24"/>
          <w:lang w:val="es-ES_tradnl"/>
        </w:rPr>
      </w:pPr>
      <w:bookmarkStart w:id="15" w:name="_Toc340745378"/>
      <w:bookmarkStart w:id="16" w:name="_Toc340745539"/>
      <w:bookmarkEnd w:id="15"/>
      <w:bookmarkEnd w:id="16"/>
      <w:r>
        <w:rPr>
          <w:rFonts w:ascii="MinionPro-Regular" w:hAnsi="MinionPro-Regular"/>
          <w:sz w:val="24"/>
          <w:szCs w:val="24"/>
          <w:lang w:val="es-ES_tradnl"/>
        </w:rPr>
        <w:t xml:space="preserve">El análisis de los datos disponibles permite estimar diferentes cifras del retorno para las arcas públicas como consecuencia de la actividad de los centros especiales de empleo. </w:t>
      </w:r>
    </w:p>
    <w:p w:rsidR="00FF7113" w:rsidRDefault="00FF7113" w:rsidP="00FF7113">
      <w:pPr>
        <w:autoSpaceDE w:val="0"/>
        <w:autoSpaceDN w:val="0"/>
        <w:spacing w:line="360" w:lineRule="auto"/>
        <w:jc w:val="both"/>
        <w:rPr>
          <w:rFonts w:ascii="MinionPro-Regular" w:hAnsi="MinionPro-Regular"/>
          <w:sz w:val="24"/>
          <w:szCs w:val="24"/>
          <w:lang w:val="es-ES_tradnl"/>
        </w:rPr>
      </w:pPr>
    </w:p>
    <w:p w:rsidR="002862C5" w:rsidRDefault="00FF7113" w:rsidP="002862C5">
      <w:pPr>
        <w:autoSpaceDE w:val="0"/>
        <w:autoSpaceDN w:val="0"/>
        <w:spacing w:line="360" w:lineRule="auto"/>
        <w:jc w:val="both"/>
        <w:rPr>
          <w:rFonts w:ascii="MinionPro-Regular" w:hAnsi="MinionPro-Regular"/>
          <w:sz w:val="24"/>
          <w:szCs w:val="24"/>
          <w:lang w:val="es-ES_tradnl"/>
        </w:rPr>
      </w:pPr>
      <w:r w:rsidRPr="007949F6">
        <w:rPr>
          <w:rFonts w:ascii="MinionPro-Regular" w:hAnsi="MinionPro-Regular"/>
          <w:sz w:val="24"/>
          <w:szCs w:val="24"/>
          <w:lang w:val="es-ES_tradnl"/>
        </w:rPr>
        <w:t xml:space="preserve">Dentro de este proceso se han considerado las ayudas que otorga la </w:t>
      </w:r>
      <w:r>
        <w:rPr>
          <w:rFonts w:ascii="MinionPro-Regular" w:hAnsi="MinionPro-Regular"/>
          <w:sz w:val="24"/>
          <w:szCs w:val="24"/>
          <w:lang w:val="es-ES_tradnl"/>
        </w:rPr>
        <w:t>a</w:t>
      </w:r>
      <w:r w:rsidRPr="007949F6">
        <w:rPr>
          <w:rFonts w:ascii="MinionPro-Regular" w:hAnsi="MinionPro-Regular"/>
          <w:sz w:val="24"/>
          <w:szCs w:val="24"/>
          <w:lang w:val="es-ES_tradnl"/>
        </w:rPr>
        <w:t>dministración y se ha diferenciado en dos conceptos, las que implican una salida efectiva de caja (compromiso de gasto) y las que no la implican (bonificaciones a la seguridad social).</w:t>
      </w:r>
    </w:p>
    <w:p w:rsidR="00526E5A" w:rsidRPr="007949F6" w:rsidRDefault="00526E5A" w:rsidP="002862C5">
      <w:pPr>
        <w:autoSpaceDE w:val="0"/>
        <w:autoSpaceDN w:val="0"/>
        <w:spacing w:line="360" w:lineRule="auto"/>
        <w:jc w:val="both"/>
        <w:rPr>
          <w:rFonts w:ascii="MinionPro-Regular" w:hAnsi="MinionPro-Regular"/>
          <w:sz w:val="24"/>
          <w:szCs w:val="24"/>
          <w:lang w:val="es-ES_tradnl"/>
        </w:rPr>
      </w:pPr>
    </w:p>
    <w:p w:rsidR="002862C5" w:rsidRDefault="002862C5" w:rsidP="002862C5">
      <w:pPr>
        <w:autoSpaceDE w:val="0"/>
        <w:autoSpaceDN w:val="0"/>
        <w:spacing w:line="360" w:lineRule="auto"/>
        <w:jc w:val="both"/>
        <w:rPr>
          <w:rFonts w:ascii="MinionPro-Regular" w:hAnsi="MinionPro-Regular"/>
          <w:sz w:val="24"/>
          <w:szCs w:val="24"/>
          <w:lang w:val="es-ES_tradnl"/>
        </w:rPr>
      </w:pPr>
      <w:r w:rsidRPr="007949F6">
        <w:rPr>
          <w:rFonts w:ascii="MinionPro-Regular" w:hAnsi="MinionPro-Regular"/>
          <w:sz w:val="24"/>
          <w:szCs w:val="24"/>
          <w:lang w:val="es-ES_tradnl"/>
        </w:rPr>
        <w:t xml:space="preserve">Por parte de los </w:t>
      </w:r>
      <w:r>
        <w:rPr>
          <w:rFonts w:ascii="MinionPro-Regular" w:hAnsi="MinionPro-Regular"/>
          <w:sz w:val="24"/>
          <w:szCs w:val="24"/>
          <w:lang w:val="es-ES_tradnl"/>
        </w:rPr>
        <w:t>centros especiales de empleo</w:t>
      </w:r>
      <w:r w:rsidRPr="007949F6">
        <w:rPr>
          <w:rFonts w:ascii="MinionPro-Regular" w:hAnsi="MinionPro-Regular"/>
          <w:sz w:val="24"/>
          <w:szCs w:val="24"/>
          <w:lang w:val="es-ES_tradnl"/>
        </w:rPr>
        <w:t xml:space="preserve"> se ha tenido en cuenta un retorno </w:t>
      </w:r>
      <w:r>
        <w:rPr>
          <w:rFonts w:ascii="MinionPro-Regular" w:hAnsi="MinionPro-Regular"/>
          <w:sz w:val="24"/>
          <w:szCs w:val="24"/>
          <w:lang w:val="es-ES_tradnl"/>
        </w:rPr>
        <w:t>que implica una salida efectiva de caja</w:t>
      </w:r>
      <w:r w:rsidRPr="007949F6">
        <w:rPr>
          <w:rFonts w:ascii="MinionPro-Regular" w:hAnsi="MinionPro-Regular"/>
          <w:sz w:val="24"/>
          <w:szCs w:val="24"/>
          <w:lang w:val="es-ES_tradnl"/>
        </w:rPr>
        <w:t xml:space="preserve"> </w:t>
      </w:r>
      <w:r>
        <w:rPr>
          <w:rFonts w:ascii="MinionPro-Regular" w:hAnsi="MinionPro-Regular"/>
          <w:sz w:val="24"/>
          <w:szCs w:val="24"/>
          <w:lang w:val="es-ES_tradnl"/>
        </w:rPr>
        <w:t xml:space="preserve">(Seguridad Social, IRPF, </w:t>
      </w:r>
      <w:r w:rsidRPr="007949F6">
        <w:rPr>
          <w:rFonts w:ascii="MinionPro-Regular" w:hAnsi="MinionPro-Regular"/>
          <w:sz w:val="24"/>
          <w:szCs w:val="24"/>
          <w:lang w:val="es-ES_tradnl"/>
        </w:rPr>
        <w:t>impuestos sobre sociedades</w:t>
      </w:r>
      <w:r>
        <w:rPr>
          <w:rFonts w:ascii="MinionPro-Regular" w:hAnsi="MinionPro-Regular"/>
          <w:sz w:val="24"/>
          <w:szCs w:val="24"/>
          <w:lang w:val="es-ES_tradnl"/>
        </w:rPr>
        <w:t xml:space="preserve"> e IVA</w:t>
      </w:r>
      <w:r w:rsidRPr="007949F6">
        <w:rPr>
          <w:rFonts w:ascii="MinionPro-Regular" w:hAnsi="MinionPro-Regular"/>
          <w:sz w:val="24"/>
          <w:szCs w:val="24"/>
          <w:lang w:val="es-ES_tradnl"/>
        </w:rPr>
        <w:t>)</w:t>
      </w:r>
      <w:r>
        <w:rPr>
          <w:rFonts w:ascii="MinionPro-Regular" w:hAnsi="MinionPro-Regular"/>
          <w:sz w:val="24"/>
          <w:szCs w:val="24"/>
          <w:lang w:val="es-ES_tradnl"/>
        </w:rPr>
        <w:t>. Comparando las cifras que implican salida de caja e</w:t>
      </w:r>
      <w:r w:rsidR="00445DF8">
        <w:rPr>
          <w:rFonts w:ascii="MinionPro-Regular" w:hAnsi="MinionPro-Regular"/>
          <w:sz w:val="24"/>
          <w:szCs w:val="24"/>
          <w:lang w:val="es-ES_tradnl"/>
        </w:rPr>
        <w:t>n una y otra dirección, los centros especiales de empleo</w:t>
      </w:r>
      <w:r>
        <w:rPr>
          <w:rFonts w:ascii="MinionPro-Regular" w:hAnsi="MinionPro-Regular"/>
          <w:sz w:val="24"/>
          <w:szCs w:val="24"/>
          <w:lang w:val="es-ES_tradnl"/>
        </w:rPr>
        <w:t xml:space="preserve"> de Castilla y León retornan (sobre datos de 2013) </w:t>
      </w:r>
      <w:r w:rsidR="00523964" w:rsidRPr="00FF429E">
        <w:rPr>
          <w:rFonts w:ascii="MinionPro-Regular" w:hAnsi="MinionPro-Regular"/>
          <w:sz w:val="24"/>
          <w:szCs w:val="24"/>
          <w:lang w:val="es-ES_tradnl"/>
        </w:rPr>
        <w:t>1,76</w:t>
      </w:r>
      <w:r w:rsidRPr="008D2A85">
        <w:rPr>
          <w:rFonts w:ascii="MinionPro-Regular" w:hAnsi="MinionPro-Regular"/>
          <w:sz w:val="24"/>
          <w:szCs w:val="24"/>
          <w:lang w:val="es-ES_tradnl"/>
        </w:rPr>
        <w:t xml:space="preserve"> euros</w:t>
      </w:r>
      <w:r>
        <w:rPr>
          <w:rFonts w:ascii="MinionPro-Regular" w:hAnsi="MinionPro-Regular"/>
          <w:sz w:val="24"/>
          <w:szCs w:val="24"/>
          <w:lang w:val="es-ES_tradnl"/>
        </w:rPr>
        <w:t xml:space="preserve"> por cada euro que reciben de la administración </w:t>
      </w:r>
      <w:r w:rsidRPr="005A10B4">
        <w:rPr>
          <w:rFonts w:ascii="MinionPro-Regular" w:hAnsi="MinionPro-Regular"/>
          <w:sz w:val="24"/>
          <w:szCs w:val="24"/>
          <w:lang w:val="es-ES_tradnl"/>
        </w:rPr>
        <w:t>pública. En este</w:t>
      </w:r>
      <w:r>
        <w:rPr>
          <w:rFonts w:ascii="MinionPro-Regular" w:hAnsi="MinionPro-Regular"/>
          <w:sz w:val="24"/>
          <w:szCs w:val="24"/>
          <w:lang w:val="es-ES_tradnl"/>
        </w:rPr>
        <w:t xml:space="preserve"> proceso no se han incluido los salarios, pero no con</w:t>
      </w:r>
      <w:r w:rsidR="00D740B8">
        <w:rPr>
          <w:rFonts w:ascii="MinionPro-Regular" w:hAnsi="MinionPro-Regular"/>
          <w:sz w:val="24"/>
          <w:szCs w:val="24"/>
          <w:lang w:val="es-ES_tradnl"/>
        </w:rPr>
        <w:t>viene olvidar que en el año 2012</w:t>
      </w:r>
      <w:r w:rsidR="00445DF8">
        <w:rPr>
          <w:rFonts w:ascii="MinionPro-Regular" w:hAnsi="MinionPro-Regular"/>
          <w:sz w:val="24"/>
          <w:szCs w:val="24"/>
          <w:lang w:val="es-ES_tradnl"/>
        </w:rPr>
        <w:t>, los centros</w:t>
      </w:r>
      <w:r>
        <w:rPr>
          <w:rFonts w:ascii="MinionPro-Regular" w:hAnsi="MinionPro-Regular"/>
          <w:sz w:val="24"/>
          <w:szCs w:val="24"/>
          <w:lang w:val="es-ES_tradnl"/>
        </w:rPr>
        <w:t xml:space="preserve"> de Castill</w:t>
      </w:r>
      <w:r w:rsidR="00D740B8">
        <w:rPr>
          <w:rFonts w:ascii="MinionPro-Regular" w:hAnsi="MinionPro-Regular"/>
          <w:sz w:val="24"/>
          <w:szCs w:val="24"/>
          <w:lang w:val="es-ES_tradnl"/>
        </w:rPr>
        <w:t>a y León pagaron alrededor de 76</w:t>
      </w:r>
      <w:r>
        <w:rPr>
          <w:rFonts w:ascii="MinionPro-Regular" w:hAnsi="MinionPro-Regular"/>
          <w:sz w:val="24"/>
          <w:szCs w:val="24"/>
          <w:lang w:val="es-ES_tradnl"/>
        </w:rPr>
        <w:t xml:space="preserve"> millones de euros en salarios </w:t>
      </w:r>
      <w:r w:rsidR="00D740B8">
        <w:rPr>
          <w:rFonts w:ascii="MinionPro-Regular" w:hAnsi="MinionPro-Regular"/>
          <w:sz w:val="24"/>
          <w:szCs w:val="24"/>
          <w:lang w:val="es-ES_tradnl"/>
        </w:rPr>
        <w:t>a sus empleados, de los cuales por lo menos</w:t>
      </w:r>
      <w:r>
        <w:rPr>
          <w:rFonts w:ascii="MinionPro-Regular" w:hAnsi="MinionPro-Regular"/>
          <w:sz w:val="24"/>
          <w:szCs w:val="24"/>
          <w:lang w:val="es-ES_tradnl"/>
        </w:rPr>
        <w:t xml:space="preserve"> de 48 millones fueron destinados a personas con discapacidad. Buena parte de la renta de los empleados fue dedicada al consumo, por lo que fueron sujetos a imposición indirecta generando recurs</w:t>
      </w:r>
      <w:r w:rsidR="00526E5A">
        <w:rPr>
          <w:rFonts w:ascii="MinionPro-Regular" w:hAnsi="MinionPro-Regular"/>
          <w:sz w:val="24"/>
          <w:szCs w:val="24"/>
          <w:lang w:val="es-ES_tradnl"/>
        </w:rPr>
        <w:t>os adicionales al estado.</w:t>
      </w:r>
    </w:p>
    <w:p w:rsidR="002862C5" w:rsidRDefault="002862C5" w:rsidP="002862C5">
      <w:pPr>
        <w:autoSpaceDE w:val="0"/>
        <w:autoSpaceDN w:val="0"/>
        <w:spacing w:line="360" w:lineRule="auto"/>
        <w:jc w:val="both"/>
        <w:rPr>
          <w:rFonts w:ascii="MinionPro-Regular" w:hAnsi="MinionPro-Regular"/>
          <w:sz w:val="24"/>
          <w:szCs w:val="24"/>
          <w:lang w:val="es-ES_tradnl"/>
        </w:rPr>
      </w:pPr>
    </w:p>
    <w:p w:rsidR="002862C5" w:rsidRDefault="002862C5" w:rsidP="002862C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Si se tiene en cuenta el retorno de las partidas que no suponen salida de efectivo ni en una ni en otra dirección, el retorno sería de </w:t>
      </w:r>
      <w:r w:rsidR="00523964" w:rsidRPr="00FF429E">
        <w:rPr>
          <w:rFonts w:ascii="MinionPro-Regular" w:hAnsi="MinionPro-Regular"/>
          <w:sz w:val="24"/>
          <w:szCs w:val="24"/>
          <w:lang w:val="es-ES_tradnl"/>
        </w:rPr>
        <w:t>1,61</w:t>
      </w:r>
      <w:r>
        <w:rPr>
          <w:rFonts w:ascii="MinionPro-Regular" w:hAnsi="MinionPro-Regular"/>
          <w:sz w:val="24"/>
          <w:szCs w:val="24"/>
          <w:lang w:val="es-ES_tradnl"/>
        </w:rPr>
        <w:t xml:space="preserve"> euros. </w:t>
      </w:r>
      <w:r w:rsidRPr="007949F6">
        <w:rPr>
          <w:rFonts w:ascii="MinionPro-Regular" w:hAnsi="MinionPro-Regular"/>
          <w:sz w:val="24"/>
          <w:szCs w:val="24"/>
          <w:lang w:val="es-ES_tradnl"/>
        </w:rPr>
        <w:t xml:space="preserve"> </w:t>
      </w:r>
      <w:r>
        <w:rPr>
          <w:rFonts w:ascii="MinionPro-Regular" w:hAnsi="MinionPro-Regular"/>
          <w:sz w:val="24"/>
          <w:szCs w:val="24"/>
          <w:lang w:val="es-ES_tradnl"/>
        </w:rPr>
        <w:t xml:space="preserve">Por último, si se tiene en cuenta </w:t>
      </w:r>
      <w:r>
        <w:rPr>
          <w:rFonts w:ascii="MinionPro-Regular" w:hAnsi="MinionPro-Regular"/>
          <w:sz w:val="24"/>
          <w:szCs w:val="24"/>
          <w:lang w:val="es-ES_tradnl"/>
        </w:rPr>
        <w:lastRenderedPageBreak/>
        <w:t xml:space="preserve">el impacto en términos globales incluyendo todas las variables analizadas, el retorno económico sobre cada euro asciende a </w:t>
      </w:r>
      <w:r w:rsidRPr="00FF429E">
        <w:rPr>
          <w:rFonts w:ascii="MinionPro-Regular" w:hAnsi="MinionPro-Regular"/>
          <w:sz w:val="24"/>
          <w:szCs w:val="24"/>
          <w:lang w:val="es-ES_tradnl"/>
        </w:rPr>
        <w:t>1,</w:t>
      </w:r>
      <w:r w:rsidR="00523964" w:rsidRPr="00FF429E">
        <w:rPr>
          <w:rFonts w:ascii="MinionPro-Regular" w:hAnsi="MinionPro-Regular"/>
          <w:sz w:val="24"/>
          <w:szCs w:val="24"/>
          <w:lang w:val="es-ES_tradnl"/>
        </w:rPr>
        <w:t>7</w:t>
      </w:r>
      <w:r w:rsidRPr="00FF429E">
        <w:rPr>
          <w:rFonts w:ascii="MinionPro-Regular" w:hAnsi="MinionPro-Regular"/>
          <w:sz w:val="24"/>
          <w:szCs w:val="24"/>
          <w:lang w:val="es-ES_tradnl"/>
        </w:rPr>
        <w:t xml:space="preserve"> </w:t>
      </w:r>
      <w:r w:rsidRPr="00CD0211">
        <w:rPr>
          <w:rFonts w:ascii="MinionPro-Regular" w:hAnsi="MinionPro-Regular"/>
          <w:sz w:val="24"/>
          <w:szCs w:val="24"/>
          <w:lang w:val="es-ES_tradnl"/>
        </w:rPr>
        <w:t>euros.</w:t>
      </w:r>
    </w:p>
    <w:p w:rsidR="00526E5A" w:rsidRDefault="00526E5A" w:rsidP="002862C5">
      <w:pPr>
        <w:autoSpaceDE w:val="0"/>
        <w:autoSpaceDN w:val="0"/>
        <w:spacing w:line="360" w:lineRule="auto"/>
        <w:jc w:val="both"/>
        <w:rPr>
          <w:rFonts w:ascii="MinionPro-Regular" w:hAnsi="MinionPro-Regular"/>
          <w:sz w:val="24"/>
          <w:szCs w:val="24"/>
          <w:lang w:val="es-ES_tradnl"/>
        </w:rPr>
      </w:pPr>
    </w:p>
    <w:p w:rsidR="008D06E2" w:rsidRDefault="00445DF8" w:rsidP="002862C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retorno de los centros e</w:t>
      </w:r>
      <w:r w:rsidR="008D06E2">
        <w:rPr>
          <w:rFonts w:ascii="MinionPro-Regular" w:hAnsi="MinionPro-Regular"/>
          <w:sz w:val="24"/>
          <w:szCs w:val="24"/>
          <w:lang w:val="es-ES_tradnl"/>
        </w:rPr>
        <w:t>speciales</w:t>
      </w:r>
      <w:r>
        <w:rPr>
          <w:rFonts w:ascii="MinionPro-Regular" w:hAnsi="MinionPro-Regular"/>
          <w:sz w:val="24"/>
          <w:szCs w:val="24"/>
          <w:lang w:val="es-ES_tradnl"/>
        </w:rPr>
        <w:t xml:space="preserve"> de empleo</w:t>
      </w:r>
      <w:r w:rsidR="008D06E2">
        <w:rPr>
          <w:rFonts w:ascii="MinionPro-Regular" w:hAnsi="MinionPro-Regular"/>
          <w:sz w:val="24"/>
          <w:szCs w:val="24"/>
          <w:lang w:val="es-ES_tradnl"/>
        </w:rPr>
        <w:t xml:space="preserve"> de Castilla y León </w:t>
      </w:r>
      <w:r>
        <w:rPr>
          <w:rFonts w:ascii="MinionPro-Regular" w:hAnsi="MinionPro-Regular"/>
          <w:sz w:val="24"/>
          <w:szCs w:val="24"/>
          <w:lang w:val="es-ES_tradnl"/>
        </w:rPr>
        <w:t>es ligeramente mayor al de los centros de t</w:t>
      </w:r>
      <w:r w:rsidR="008D06E2">
        <w:rPr>
          <w:rFonts w:ascii="MinionPro-Regular" w:hAnsi="MinionPro-Regular"/>
          <w:sz w:val="24"/>
          <w:szCs w:val="24"/>
          <w:lang w:val="es-ES_tradnl"/>
        </w:rPr>
        <w:t xml:space="preserve">oda España. Comparando las cifras que implican salida de caja en una y otra dirección, los centros especiales de empleo de toda España retornan (sobre datos de 2011) </w:t>
      </w:r>
      <w:r w:rsidR="008D06E2" w:rsidRPr="00267483">
        <w:rPr>
          <w:rFonts w:ascii="MinionPro-Regular" w:hAnsi="MinionPro-Regular"/>
          <w:color w:val="000000" w:themeColor="text1"/>
          <w:sz w:val="24"/>
          <w:szCs w:val="24"/>
          <w:lang w:val="es-ES_tradnl"/>
        </w:rPr>
        <w:t>1,</w:t>
      </w:r>
      <w:r w:rsidR="008D06E2" w:rsidRPr="00FF429E">
        <w:rPr>
          <w:rFonts w:ascii="MinionPro-Regular" w:hAnsi="MinionPro-Regular"/>
          <w:sz w:val="24"/>
          <w:szCs w:val="24"/>
          <w:lang w:val="es-ES_tradnl"/>
        </w:rPr>
        <w:t>42</w:t>
      </w:r>
      <w:r w:rsidR="008D06E2" w:rsidRPr="008D2A85">
        <w:rPr>
          <w:rFonts w:ascii="MinionPro-Regular" w:hAnsi="MinionPro-Regular"/>
          <w:sz w:val="24"/>
          <w:szCs w:val="24"/>
          <w:lang w:val="es-ES_tradnl"/>
        </w:rPr>
        <w:t xml:space="preserve"> euros</w:t>
      </w:r>
      <w:r w:rsidR="008D06E2">
        <w:rPr>
          <w:rFonts w:ascii="MinionPro-Regular" w:hAnsi="MinionPro-Regular"/>
          <w:sz w:val="24"/>
          <w:szCs w:val="24"/>
          <w:lang w:val="es-ES_tradnl"/>
        </w:rPr>
        <w:t xml:space="preserve"> por cada euro que reciben de la administración pública. Si se tiene en cuenta el retorno de las partidas que no suponen salida de efectivo ni en una ni en otra dirección, el retorno sería de </w:t>
      </w:r>
      <w:r w:rsidR="008D06E2" w:rsidRPr="00FF429E">
        <w:rPr>
          <w:rFonts w:ascii="MinionPro-Regular" w:hAnsi="MinionPro-Regular"/>
          <w:sz w:val="24"/>
          <w:szCs w:val="24"/>
          <w:lang w:val="es-ES_tradnl"/>
        </w:rPr>
        <w:t>1,47</w:t>
      </w:r>
      <w:r w:rsidR="008D06E2">
        <w:rPr>
          <w:rFonts w:ascii="MinionPro-Regular" w:hAnsi="MinionPro-Regular"/>
          <w:sz w:val="24"/>
          <w:szCs w:val="24"/>
          <w:lang w:val="es-ES_tradnl"/>
        </w:rPr>
        <w:t xml:space="preserve"> euros. </w:t>
      </w:r>
      <w:r w:rsidR="008D06E2" w:rsidRPr="007949F6">
        <w:rPr>
          <w:rFonts w:ascii="MinionPro-Regular" w:hAnsi="MinionPro-Regular"/>
          <w:sz w:val="24"/>
          <w:szCs w:val="24"/>
          <w:lang w:val="es-ES_tradnl"/>
        </w:rPr>
        <w:t xml:space="preserve"> </w:t>
      </w:r>
      <w:r w:rsidR="008D06E2">
        <w:rPr>
          <w:rFonts w:ascii="MinionPro-Regular" w:hAnsi="MinionPro-Regular"/>
          <w:sz w:val="24"/>
          <w:szCs w:val="24"/>
          <w:lang w:val="es-ES_tradnl"/>
        </w:rPr>
        <w:t xml:space="preserve">Por último, si se tiene en cuenta el impacto en términos globales incluyendo todas las variables analizadas, el retorno económico sobre cada euro asciende a </w:t>
      </w:r>
      <w:r w:rsidR="008D06E2" w:rsidRPr="00FF429E">
        <w:rPr>
          <w:rFonts w:ascii="MinionPro-Regular" w:hAnsi="MinionPro-Regular"/>
          <w:sz w:val="24"/>
          <w:szCs w:val="24"/>
          <w:lang w:val="es-ES_tradnl"/>
        </w:rPr>
        <w:t xml:space="preserve">1,44 </w:t>
      </w:r>
      <w:r w:rsidR="008D06E2" w:rsidRPr="00CD0211">
        <w:rPr>
          <w:rFonts w:ascii="MinionPro-Regular" w:hAnsi="MinionPro-Regular"/>
          <w:sz w:val="24"/>
          <w:szCs w:val="24"/>
          <w:lang w:val="es-ES_tradnl"/>
        </w:rPr>
        <w:t>euros.</w:t>
      </w:r>
    </w:p>
    <w:p w:rsidR="008D06E2" w:rsidRDefault="008D06E2" w:rsidP="002862C5">
      <w:pPr>
        <w:autoSpaceDE w:val="0"/>
        <w:autoSpaceDN w:val="0"/>
        <w:spacing w:line="360" w:lineRule="auto"/>
        <w:jc w:val="both"/>
        <w:rPr>
          <w:rFonts w:ascii="MinionPro-Regular" w:hAnsi="MinionPro-Regular"/>
          <w:sz w:val="24"/>
          <w:szCs w:val="24"/>
          <w:lang w:val="es-ES_tradnl"/>
        </w:rPr>
      </w:pPr>
    </w:p>
    <w:p w:rsidR="002862C5" w:rsidRDefault="00336EE3" w:rsidP="002862C5">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comparativa entre el retorno de los </w:t>
      </w:r>
      <w:r w:rsidR="000A27D2">
        <w:rPr>
          <w:rFonts w:ascii="MinionPro-Regular" w:hAnsi="MinionPro-Regular"/>
          <w:sz w:val="24"/>
          <w:szCs w:val="24"/>
          <w:lang w:val="es-ES_tradnl"/>
        </w:rPr>
        <w:t>CEEs</w:t>
      </w:r>
      <w:r>
        <w:rPr>
          <w:rFonts w:ascii="MinionPro-Regular" w:hAnsi="MinionPro-Regular"/>
          <w:sz w:val="24"/>
          <w:szCs w:val="24"/>
          <w:lang w:val="es-ES_tradnl"/>
        </w:rPr>
        <w:t xml:space="preserve"> de Castilla y León y los del conjunto de España, sin embargo,</w:t>
      </w:r>
      <w:r w:rsidR="008D06E2">
        <w:rPr>
          <w:rFonts w:ascii="MinionPro-Regular" w:hAnsi="MinionPro-Regular"/>
          <w:sz w:val="24"/>
          <w:szCs w:val="24"/>
          <w:lang w:val="es-ES_tradnl"/>
        </w:rPr>
        <w:t xml:space="preserve"> debe hacerse con cautela ya que los datos utilizados para el cálculo del retorno de </w:t>
      </w:r>
      <w:r>
        <w:rPr>
          <w:rFonts w:ascii="MinionPro-Regular" w:hAnsi="MinionPro-Regular"/>
          <w:sz w:val="24"/>
          <w:szCs w:val="24"/>
          <w:lang w:val="es-ES_tradnl"/>
        </w:rPr>
        <w:t>un</w:t>
      </w:r>
      <w:r w:rsidR="008D06E2">
        <w:rPr>
          <w:rFonts w:ascii="MinionPro-Regular" w:hAnsi="MinionPro-Regular"/>
          <w:sz w:val="24"/>
          <w:szCs w:val="24"/>
          <w:lang w:val="es-ES_tradnl"/>
        </w:rPr>
        <w:t xml:space="preserve"> grupo </w:t>
      </w:r>
      <w:r>
        <w:rPr>
          <w:rFonts w:ascii="MinionPro-Regular" w:hAnsi="MinionPro-Regular"/>
          <w:sz w:val="24"/>
          <w:szCs w:val="24"/>
          <w:lang w:val="es-ES_tradnl"/>
        </w:rPr>
        <w:t xml:space="preserve">y otro </w:t>
      </w:r>
      <w:r w:rsidR="008D06E2">
        <w:rPr>
          <w:rFonts w:ascii="MinionPro-Regular" w:hAnsi="MinionPro-Regular"/>
          <w:sz w:val="24"/>
          <w:szCs w:val="24"/>
          <w:lang w:val="es-ES_tradnl"/>
        </w:rPr>
        <w:t>s</w:t>
      </w:r>
      <w:r>
        <w:rPr>
          <w:rFonts w:ascii="MinionPro-Regular" w:hAnsi="MinionPro-Regular"/>
          <w:sz w:val="24"/>
          <w:szCs w:val="24"/>
          <w:lang w:val="es-ES_tradnl"/>
        </w:rPr>
        <w:t>on de diferentes años:</w:t>
      </w:r>
      <w:r w:rsidR="008D06E2">
        <w:rPr>
          <w:rFonts w:ascii="MinionPro-Regular" w:hAnsi="MinionPro-Regular"/>
          <w:sz w:val="24"/>
          <w:szCs w:val="24"/>
          <w:lang w:val="es-ES_tradnl"/>
        </w:rPr>
        <w:t xml:space="preserve"> datos de </w:t>
      </w:r>
      <w:r>
        <w:rPr>
          <w:rFonts w:ascii="MinionPro-Regular" w:hAnsi="MinionPro-Regular"/>
          <w:sz w:val="24"/>
          <w:szCs w:val="24"/>
          <w:lang w:val="es-ES_tradnl"/>
        </w:rPr>
        <w:t>2013-2014 para el cálculo de</w:t>
      </w:r>
      <w:r w:rsidR="00222CDD">
        <w:rPr>
          <w:rFonts w:ascii="MinionPro-Regular" w:hAnsi="MinionPro-Regular"/>
          <w:sz w:val="24"/>
          <w:szCs w:val="24"/>
          <w:lang w:val="es-ES_tradnl"/>
        </w:rPr>
        <w:t>l</w:t>
      </w:r>
      <w:r>
        <w:rPr>
          <w:rFonts w:ascii="MinionPro-Regular" w:hAnsi="MinionPro-Regular"/>
          <w:sz w:val="24"/>
          <w:szCs w:val="24"/>
          <w:lang w:val="es-ES_tradnl"/>
        </w:rPr>
        <w:t xml:space="preserve"> re</w:t>
      </w:r>
      <w:r w:rsidR="008D06E2">
        <w:rPr>
          <w:rFonts w:ascii="MinionPro-Regular" w:hAnsi="MinionPro-Regular"/>
          <w:sz w:val="24"/>
          <w:szCs w:val="24"/>
          <w:lang w:val="es-ES_tradnl"/>
        </w:rPr>
        <w:t>t</w:t>
      </w:r>
      <w:r>
        <w:rPr>
          <w:rFonts w:ascii="MinionPro-Regular" w:hAnsi="MinionPro-Regular"/>
          <w:sz w:val="24"/>
          <w:szCs w:val="24"/>
          <w:lang w:val="es-ES_tradnl"/>
        </w:rPr>
        <w:t>o</w:t>
      </w:r>
      <w:r w:rsidR="008D06E2">
        <w:rPr>
          <w:rFonts w:ascii="MinionPro-Regular" w:hAnsi="MinionPro-Regular"/>
          <w:sz w:val="24"/>
          <w:szCs w:val="24"/>
          <w:lang w:val="es-ES_tradnl"/>
        </w:rPr>
        <w:t>rno de los</w:t>
      </w:r>
      <w:r w:rsidR="00445DF8">
        <w:rPr>
          <w:rFonts w:ascii="MinionPro-Regular" w:hAnsi="MinionPro-Regular"/>
          <w:sz w:val="24"/>
          <w:szCs w:val="24"/>
          <w:lang w:val="es-ES_tradnl"/>
        </w:rPr>
        <w:t xml:space="preserve"> centros</w:t>
      </w:r>
      <w:r w:rsidR="008D06E2">
        <w:rPr>
          <w:rFonts w:ascii="MinionPro-Regular" w:hAnsi="MinionPro-Regular"/>
          <w:sz w:val="24"/>
          <w:szCs w:val="24"/>
          <w:lang w:val="es-ES_tradnl"/>
        </w:rPr>
        <w:t xml:space="preserve"> de Castilla y León y datos de 2011-2</w:t>
      </w:r>
      <w:r w:rsidR="00445DF8">
        <w:rPr>
          <w:rFonts w:ascii="MinionPro-Regular" w:hAnsi="MinionPro-Regular"/>
          <w:sz w:val="24"/>
          <w:szCs w:val="24"/>
          <w:lang w:val="es-ES_tradnl"/>
        </w:rPr>
        <w:t>012 para el análisis de España.</w:t>
      </w:r>
    </w:p>
    <w:p w:rsidR="002862C5" w:rsidRDefault="002862C5" w:rsidP="002862C5">
      <w:pPr>
        <w:autoSpaceDE w:val="0"/>
        <w:autoSpaceDN w:val="0"/>
        <w:spacing w:line="360" w:lineRule="auto"/>
        <w:jc w:val="both"/>
        <w:rPr>
          <w:rFonts w:ascii="MinionPro-Regular" w:hAnsi="MinionPro-Regular"/>
          <w:sz w:val="24"/>
          <w:szCs w:val="24"/>
          <w:lang w:val="es-ES_tradnl"/>
        </w:rPr>
      </w:pPr>
    </w:p>
    <w:p w:rsidR="002862C5" w:rsidRDefault="002862C5" w:rsidP="002862C5">
      <w:pPr>
        <w:pBdr>
          <w:bottom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Cuadro resumen del análisis de las ayudas de la administración pública y los retornos de los </w:t>
      </w:r>
      <w:r w:rsidR="00222CDD">
        <w:rPr>
          <w:rFonts w:ascii="MinionPro-Regular" w:hAnsi="MinionPro-Regular"/>
          <w:sz w:val="24"/>
          <w:szCs w:val="24"/>
          <w:lang w:val="es-ES_tradnl"/>
        </w:rPr>
        <w:t xml:space="preserve">centros </w:t>
      </w:r>
      <w:r w:rsidR="00336EE3">
        <w:rPr>
          <w:rFonts w:ascii="MinionPro-Regular" w:hAnsi="MinionPro-Regular"/>
          <w:sz w:val="24"/>
          <w:szCs w:val="24"/>
          <w:lang w:val="es-ES_tradnl"/>
        </w:rPr>
        <w:t xml:space="preserve">de Castilla y León </w:t>
      </w:r>
      <w:r>
        <w:rPr>
          <w:rFonts w:ascii="MinionPro-Regular" w:hAnsi="MinionPro-Regular"/>
          <w:sz w:val="24"/>
          <w:szCs w:val="24"/>
          <w:lang w:val="es-ES_tradnl"/>
        </w:rPr>
        <w:t>según los distintos conceptos</w:t>
      </w:r>
      <w:r w:rsidR="00336EE3">
        <w:rPr>
          <w:rFonts w:ascii="MinionPro-Regular" w:hAnsi="MinionPro-Regular"/>
          <w:sz w:val="24"/>
          <w:szCs w:val="24"/>
          <w:lang w:val="es-ES_tradnl"/>
        </w:rPr>
        <w:t>:</w:t>
      </w:r>
    </w:p>
    <w:p w:rsidR="002862C5" w:rsidRDefault="002862C5" w:rsidP="002862C5">
      <w:pPr>
        <w:autoSpaceDE w:val="0"/>
        <w:autoSpaceDN w:val="0"/>
        <w:spacing w:line="360" w:lineRule="auto"/>
        <w:jc w:val="both"/>
        <w:rPr>
          <w:rFonts w:ascii="MinionPro-Regular" w:hAnsi="MinionPro-Regular"/>
          <w:sz w:val="24"/>
          <w:szCs w:val="24"/>
          <w:lang w:val="es-ES_tradnl"/>
        </w:rPr>
      </w:pPr>
    </w:p>
    <w:tbl>
      <w:tblPr>
        <w:tblW w:w="0" w:type="auto"/>
        <w:tblBorders>
          <w:bottom w:val="single" w:sz="12" w:space="0" w:color="409DAD"/>
        </w:tblBorders>
        <w:tblCellMar>
          <w:top w:w="28" w:type="dxa"/>
          <w:left w:w="28" w:type="dxa"/>
          <w:bottom w:w="28" w:type="dxa"/>
          <w:right w:w="28" w:type="dxa"/>
        </w:tblCellMar>
        <w:tblLook w:val="00A0"/>
      </w:tblPr>
      <w:tblGrid>
        <w:gridCol w:w="2561"/>
        <w:gridCol w:w="2085"/>
        <w:gridCol w:w="1946"/>
        <w:gridCol w:w="1969"/>
      </w:tblGrid>
      <w:tr w:rsidR="002862C5" w:rsidRPr="005158FF" w:rsidTr="00526E5A">
        <w:trPr>
          <w:trHeight w:val="597"/>
        </w:trPr>
        <w:tc>
          <w:tcPr>
            <w:tcW w:w="2561" w:type="dxa"/>
            <w:tcBorders>
              <w:bottom w:val="nil"/>
            </w:tcBorders>
            <w:shd w:val="clear" w:color="auto" w:fill="409DAD"/>
            <w:vAlign w:val="center"/>
          </w:tcPr>
          <w:p w:rsidR="002862C5" w:rsidRPr="00A62C1C" w:rsidRDefault="002862C5" w:rsidP="00526E5A">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Ayudas de la administración pública</w:t>
            </w:r>
          </w:p>
        </w:tc>
        <w:tc>
          <w:tcPr>
            <w:tcW w:w="2085" w:type="dxa"/>
            <w:tcBorders>
              <w:bottom w:val="nil"/>
            </w:tcBorders>
            <w:shd w:val="clear" w:color="auto" w:fill="409DAD"/>
            <w:vAlign w:val="center"/>
          </w:tcPr>
          <w:p w:rsidR="002862C5" w:rsidRPr="00A62C1C" w:rsidRDefault="002862C5" w:rsidP="00526E5A">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Cantidades </w:t>
            </w:r>
          </w:p>
          <w:p w:rsidR="002862C5" w:rsidRPr="00A62C1C" w:rsidRDefault="002862C5" w:rsidP="00526E5A">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totales (euros)</w:t>
            </w:r>
          </w:p>
        </w:tc>
        <w:tc>
          <w:tcPr>
            <w:tcW w:w="1946" w:type="dxa"/>
            <w:tcBorders>
              <w:bottom w:val="nil"/>
            </w:tcBorders>
            <w:shd w:val="clear" w:color="auto" w:fill="409DAD"/>
            <w:vAlign w:val="center"/>
          </w:tcPr>
          <w:p w:rsidR="002862C5" w:rsidRPr="00A62C1C" w:rsidRDefault="002862C5" w:rsidP="00526E5A">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Retorno de los </w:t>
            </w:r>
            <w:r>
              <w:rPr>
                <w:rFonts w:ascii="MinionPro-Regular" w:hAnsi="MinionPro-Regular"/>
                <w:b/>
                <w:color w:val="FFFFFF"/>
                <w:lang w:val="es-ES_tradnl"/>
              </w:rPr>
              <w:t>CEEs de Castilla y León</w:t>
            </w:r>
          </w:p>
        </w:tc>
        <w:tc>
          <w:tcPr>
            <w:tcW w:w="1969" w:type="dxa"/>
            <w:tcBorders>
              <w:bottom w:val="nil"/>
            </w:tcBorders>
            <w:shd w:val="clear" w:color="auto" w:fill="409DAD"/>
            <w:vAlign w:val="center"/>
          </w:tcPr>
          <w:p w:rsidR="002862C5" w:rsidRPr="00A62C1C" w:rsidRDefault="002862C5" w:rsidP="00526E5A">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Cantidades </w:t>
            </w:r>
          </w:p>
          <w:p w:rsidR="002862C5" w:rsidRPr="00A62C1C" w:rsidRDefault="002862C5" w:rsidP="00526E5A">
            <w:pPr>
              <w:spacing w:line="180" w:lineRule="atLeast"/>
              <w:rPr>
                <w:rFonts w:ascii="MinionPro-Regular" w:hAnsi="MinionPro-Regular"/>
                <w:color w:val="FFFFFF"/>
                <w:lang w:val="es-ES_tradnl"/>
              </w:rPr>
            </w:pPr>
            <w:r w:rsidRPr="00A62C1C">
              <w:rPr>
                <w:rFonts w:ascii="MinionPro-Regular" w:hAnsi="MinionPro-Regular"/>
                <w:b/>
                <w:color w:val="FFFFFF"/>
                <w:lang w:val="es-ES_tradnl"/>
              </w:rPr>
              <w:t>totales estimadas (euros)</w:t>
            </w:r>
          </w:p>
        </w:tc>
      </w:tr>
      <w:tr w:rsidR="002862C5" w:rsidRPr="005158FF" w:rsidTr="00526E5A">
        <w:trPr>
          <w:trHeight w:val="290"/>
        </w:trPr>
        <w:tc>
          <w:tcPr>
            <w:tcW w:w="8561" w:type="dxa"/>
            <w:gridSpan w:val="4"/>
            <w:tcBorders>
              <w:bottom w:val="single" w:sz="4" w:space="0" w:color="auto"/>
            </w:tcBorders>
            <w:vAlign w:val="center"/>
          </w:tcPr>
          <w:p w:rsidR="002862C5" w:rsidRPr="00A62C1C" w:rsidRDefault="002862C5" w:rsidP="00526E5A">
            <w:pPr>
              <w:spacing w:line="180" w:lineRule="atLeast"/>
              <w:jc w:val="center"/>
              <w:rPr>
                <w:rFonts w:ascii="MinionPro-Regular" w:hAnsi="MinionPro-Regular"/>
                <w:bCs/>
                <w:lang w:val="es-ES_tradnl"/>
              </w:rPr>
            </w:pPr>
            <w:r w:rsidRPr="00A62C1C">
              <w:rPr>
                <w:rFonts w:ascii="MinionPro-Regular" w:hAnsi="MinionPro-Regular"/>
                <w:b/>
                <w:lang w:val="es-ES_tradnl"/>
              </w:rPr>
              <w:t>Con salida de efectivo</w:t>
            </w:r>
          </w:p>
        </w:tc>
      </w:tr>
      <w:tr w:rsidR="002862C5" w:rsidRPr="005158FF" w:rsidTr="00526E5A">
        <w:trPr>
          <w:trHeight w:val="290"/>
        </w:trPr>
        <w:tc>
          <w:tcPr>
            <w:tcW w:w="2561" w:type="dxa"/>
            <w:vMerge w:val="restart"/>
            <w:tcBorders>
              <w:top w:val="single" w:sz="4" w:space="0" w:color="auto"/>
            </w:tcBorders>
            <w:vAlign w:val="center"/>
          </w:tcPr>
          <w:p w:rsidR="002862C5" w:rsidRPr="00D2049F" w:rsidRDefault="002862C5" w:rsidP="00526E5A">
            <w:pPr>
              <w:spacing w:line="180" w:lineRule="atLeast"/>
              <w:rPr>
                <w:rFonts w:ascii="MinionPro-Regular" w:hAnsi="MinionPro-Regular"/>
                <w:lang w:val="es-ES_tradnl"/>
              </w:rPr>
            </w:pPr>
            <w:r w:rsidRPr="00D2049F">
              <w:rPr>
                <w:rFonts w:ascii="MinionPro-Regular" w:hAnsi="MinionPro-Regular"/>
                <w:lang w:val="es-ES_tradnl"/>
              </w:rPr>
              <w:t xml:space="preserve">Compromiso de gasto para </w:t>
            </w:r>
            <w:r>
              <w:rPr>
                <w:rFonts w:ascii="MinionPro-Regular" w:hAnsi="MinionPro-Regular"/>
                <w:lang w:val="es-ES_tradnl"/>
              </w:rPr>
              <w:t>CEEs</w:t>
            </w:r>
          </w:p>
        </w:tc>
        <w:tc>
          <w:tcPr>
            <w:tcW w:w="2085" w:type="dxa"/>
            <w:vMerge w:val="restart"/>
            <w:tcBorders>
              <w:top w:val="single" w:sz="4" w:space="0" w:color="auto"/>
            </w:tcBorders>
            <w:vAlign w:val="center"/>
          </w:tcPr>
          <w:p w:rsidR="002862C5" w:rsidRPr="00A62C1C" w:rsidRDefault="002862C5" w:rsidP="00526E5A">
            <w:pPr>
              <w:spacing w:line="180" w:lineRule="atLeast"/>
              <w:jc w:val="center"/>
              <w:rPr>
                <w:rFonts w:ascii="MinionPro-Regular" w:hAnsi="MinionPro-Regular"/>
                <w:lang w:val="es-ES_tradnl"/>
              </w:rPr>
            </w:pPr>
            <w:r w:rsidRPr="006C141A">
              <w:rPr>
                <w:rFonts w:ascii="MinionPro-Regular" w:hAnsi="MinionPro-Regular"/>
                <w:lang w:val="es-ES_tradnl"/>
              </w:rPr>
              <w:t>17</w:t>
            </w:r>
            <w:r>
              <w:rPr>
                <w:rFonts w:ascii="MinionPro-Regular" w:hAnsi="MinionPro-Regular"/>
                <w:lang w:val="es-ES_tradnl"/>
              </w:rPr>
              <w:t>.</w:t>
            </w:r>
            <w:r w:rsidRPr="006C141A">
              <w:rPr>
                <w:rFonts w:ascii="MinionPro-Regular" w:hAnsi="MinionPro-Regular"/>
                <w:lang w:val="es-ES_tradnl"/>
              </w:rPr>
              <w:t>607</w:t>
            </w:r>
            <w:r>
              <w:rPr>
                <w:rFonts w:ascii="MinionPro-Regular" w:hAnsi="MinionPro-Regular"/>
                <w:lang w:val="es-ES_tradnl"/>
              </w:rPr>
              <w:t>.</w:t>
            </w:r>
            <w:r w:rsidRPr="006C141A">
              <w:rPr>
                <w:rFonts w:ascii="MinionPro-Regular" w:hAnsi="MinionPro-Regular"/>
                <w:lang w:val="es-ES_tradnl"/>
              </w:rPr>
              <w:t>567,43</w:t>
            </w:r>
          </w:p>
        </w:tc>
        <w:tc>
          <w:tcPr>
            <w:tcW w:w="1946" w:type="dxa"/>
            <w:tcBorders>
              <w:top w:val="single" w:sz="4" w:space="0" w:color="auto"/>
            </w:tcBorders>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IRPF y seguridad social</w:t>
            </w:r>
          </w:p>
        </w:tc>
        <w:tc>
          <w:tcPr>
            <w:tcW w:w="1969" w:type="dxa"/>
            <w:tcBorders>
              <w:top w:val="single" w:sz="4" w:space="0" w:color="auto"/>
            </w:tcBorders>
            <w:vAlign w:val="center"/>
          </w:tcPr>
          <w:p w:rsidR="002862C5" w:rsidRPr="00A62C1C" w:rsidRDefault="002862C5" w:rsidP="00526E5A">
            <w:pPr>
              <w:spacing w:line="180" w:lineRule="atLeast"/>
              <w:jc w:val="center"/>
              <w:rPr>
                <w:rFonts w:ascii="MinionPro-Regular" w:hAnsi="MinionPro-Regular"/>
                <w:lang w:val="es-ES_tradnl"/>
              </w:rPr>
            </w:pPr>
            <w:r>
              <w:rPr>
                <w:rFonts w:ascii="MinionPro-Regular" w:hAnsi="MinionPro-Regular"/>
                <w:lang w:val="es-ES_tradnl"/>
              </w:rPr>
              <w:t>11.143.428,91</w:t>
            </w:r>
          </w:p>
        </w:tc>
      </w:tr>
      <w:tr w:rsidR="002862C5" w:rsidRPr="005158FF" w:rsidTr="00526E5A">
        <w:trPr>
          <w:trHeight w:val="164"/>
        </w:trPr>
        <w:tc>
          <w:tcPr>
            <w:tcW w:w="2561" w:type="dxa"/>
            <w:vMerge/>
            <w:vAlign w:val="center"/>
          </w:tcPr>
          <w:p w:rsidR="002862C5" w:rsidRPr="00A62C1C" w:rsidRDefault="002862C5" w:rsidP="00526E5A">
            <w:pPr>
              <w:spacing w:line="180" w:lineRule="atLeast"/>
              <w:rPr>
                <w:rFonts w:ascii="MinionPro-Regular" w:hAnsi="MinionPro-Regular"/>
                <w:b/>
                <w:lang w:val="es-ES_tradnl"/>
              </w:rPr>
            </w:pPr>
          </w:p>
        </w:tc>
        <w:tc>
          <w:tcPr>
            <w:tcW w:w="2085" w:type="dxa"/>
            <w:vMerge/>
            <w:vAlign w:val="center"/>
          </w:tcPr>
          <w:p w:rsidR="002862C5" w:rsidRPr="00A62C1C" w:rsidRDefault="002862C5" w:rsidP="00526E5A">
            <w:pPr>
              <w:spacing w:line="180" w:lineRule="atLeast"/>
              <w:rPr>
                <w:rFonts w:ascii="MinionPro-Regular" w:hAnsi="MinionPro-Regular"/>
                <w:lang w:val="es-ES_tradnl"/>
              </w:rPr>
            </w:pPr>
          </w:p>
        </w:tc>
        <w:tc>
          <w:tcPr>
            <w:tcW w:w="1946" w:type="dxa"/>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Impuestos indirectos (IVA)</w:t>
            </w:r>
          </w:p>
        </w:tc>
        <w:tc>
          <w:tcPr>
            <w:tcW w:w="1969" w:type="dxa"/>
            <w:vAlign w:val="center"/>
          </w:tcPr>
          <w:p w:rsidR="002862C5" w:rsidRPr="00A62C1C" w:rsidRDefault="00321899" w:rsidP="00526E5A">
            <w:pPr>
              <w:spacing w:line="180" w:lineRule="atLeast"/>
              <w:jc w:val="center"/>
              <w:rPr>
                <w:rFonts w:ascii="MinionPro-Regular" w:hAnsi="MinionPro-Regular"/>
                <w:lang w:val="es-ES_tradnl"/>
              </w:rPr>
            </w:pPr>
            <w:r>
              <w:rPr>
                <w:rFonts w:ascii="MinionPro-Regular" w:hAnsi="MinionPro-Regular"/>
                <w:lang w:val="es-ES_tradnl"/>
              </w:rPr>
              <w:t>17.736.035</w:t>
            </w:r>
          </w:p>
        </w:tc>
      </w:tr>
      <w:tr w:rsidR="002862C5" w:rsidRPr="005158FF" w:rsidTr="00526E5A">
        <w:trPr>
          <w:trHeight w:val="164"/>
        </w:trPr>
        <w:tc>
          <w:tcPr>
            <w:tcW w:w="2561" w:type="dxa"/>
            <w:vMerge/>
            <w:tcBorders>
              <w:bottom w:val="nil"/>
            </w:tcBorders>
            <w:vAlign w:val="center"/>
          </w:tcPr>
          <w:p w:rsidR="002862C5" w:rsidRPr="00A62C1C" w:rsidRDefault="002862C5" w:rsidP="00526E5A">
            <w:pPr>
              <w:spacing w:line="180" w:lineRule="atLeast"/>
              <w:rPr>
                <w:rFonts w:ascii="MinionPro-Regular" w:hAnsi="MinionPro-Regular"/>
                <w:lang w:val="es-ES_tradnl"/>
              </w:rPr>
            </w:pPr>
          </w:p>
        </w:tc>
        <w:tc>
          <w:tcPr>
            <w:tcW w:w="2085" w:type="dxa"/>
            <w:vMerge/>
            <w:tcBorders>
              <w:bottom w:val="nil"/>
            </w:tcBorders>
            <w:vAlign w:val="center"/>
          </w:tcPr>
          <w:p w:rsidR="002862C5" w:rsidRPr="00A62C1C" w:rsidRDefault="002862C5" w:rsidP="00526E5A">
            <w:pPr>
              <w:spacing w:line="180" w:lineRule="atLeast"/>
              <w:rPr>
                <w:rFonts w:ascii="MinionPro-Regular" w:hAnsi="MinionPro-Regular"/>
                <w:lang w:val="es-ES_tradnl"/>
              </w:rPr>
            </w:pPr>
          </w:p>
        </w:tc>
        <w:tc>
          <w:tcPr>
            <w:tcW w:w="1946" w:type="dxa"/>
            <w:tcBorders>
              <w:bottom w:val="nil"/>
            </w:tcBorders>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Impuesto de sociedades</w:t>
            </w:r>
          </w:p>
        </w:tc>
        <w:tc>
          <w:tcPr>
            <w:tcW w:w="1969" w:type="dxa"/>
            <w:tcBorders>
              <w:bottom w:val="nil"/>
            </w:tcBorders>
            <w:vAlign w:val="center"/>
          </w:tcPr>
          <w:p w:rsidR="002862C5" w:rsidRPr="00A62C1C" w:rsidRDefault="002862C5" w:rsidP="00526E5A">
            <w:pPr>
              <w:spacing w:line="180" w:lineRule="atLeast"/>
              <w:jc w:val="center"/>
              <w:rPr>
                <w:rFonts w:ascii="MinionPro-Regular" w:hAnsi="MinionPro-Regular"/>
                <w:lang w:val="es-ES_tradnl"/>
              </w:rPr>
            </w:pPr>
            <w:r>
              <w:rPr>
                <w:rFonts w:ascii="MinionPro-Regular" w:hAnsi="MinionPro-Regular"/>
                <w:lang w:val="es-ES_tradnl"/>
              </w:rPr>
              <w:t>2.132.350,28</w:t>
            </w:r>
          </w:p>
        </w:tc>
      </w:tr>
      <w:tr w:rsidR="002862C5" w:rsidRPr="005158FF" w:rsidTr="00526E5A">
        <w:trPr>
          <w:trHeight w:val="307"/>
        </w:trPr>
        <w:tc>
          <w:tcPr>
            <w:tcW w:w="8561" w:type="dxa"/>
            <w:gridSpan w:val="4"/>
            <w:tcBorders>
              <w:bottom w:val="single" w:sz="4" w:space="0" w:color="auto"/>
            </w:tcBorders>
            <w:vAlign w:val="center"/>
          </w:tcPr>
          <w:p w:rsidR="002862C5" w:rsidRPr="00A62C1C" w:rsidRDefault="002862C5" w:rsidP="00526E5A">
            <w:pPr>
              <w:spacing w:line="180" w:lineRule="atLeast"/>
              <w:jc w:val="center"/>
              <w:rPr>
                <w:rFonts w:ascii="MinionPro-Regular" w:hAnsi="MinionPro-Regular"/>
                <w:bCs/>
                <w:lang w:val="es-ES_tradnl"/>
              </w:rPr>
            </w:pPr>
            <w:r w:rsidRPr="00A62C1C">
              <w:rPr>
                <w:rFonts w:ascii="MinionPro-Regular" w:hAnsi="MinionPro-Regular"/>
                <w:b/>
                <w:lang w:val="es-ES_tradnl"/>
              </w:rPr>
              <w:t>Sin salida de efectivo</w:t>
            </w:r>
          </w:p>
        </w:tc>
      </w:tr>
      <w:tr w:rsidR="002862C5" w:rsidRPr="005158FF" w:rsidTr="00526E5A">
        <w:tblPrEx>
          <w:tblBorders>
            <w:bottom w:val="none" w:sz="0" w:space="0" w:color="auto"/>
          </w:tblBorders>
          <w:tblCellMar>
            <w:top w:w="0" w:type="dxa"/>
            <w:left w:w="108" w:type="dxa"/>
            <w:bottom w:w="0" w:type="dxa"/>
            <w:right w:w="108" w:type="dxa"/>
          </w:tblCellMar>
        </w:tblPrEx>
        <w:trPr>
          <w:trHeight w:val="290"/>
        </w:trPr>
        <w:tc>
          <w:tcPr>
            <w:tcW w:w="2561" w:type="dxa"/>
            <w:vMerge w:val="restart"/>
            <w:vAlign w:val="center"/>
          </w:tcPr>
          <w:p w:rsidR="002862C5" w:rsidRPr="00D2049F" w:rsidRDefault="002862C5" w:rsidP="00526E5A">
            <w:pPr>
              <w:spacing w:line="180" w:lineRule="atLeast"/>
              <w:rPr>
                <w:rFonts w:ascii="MinionPro-Regular" w:hAnsi="MinionPro-Regular"/>
                <w:lang w:val="es-ES_tradnl"/>
              </w:rPr>
            </w:pPr>
            <w:r>
              <w:rPr>
                <w:rFonts w:ascii="MinionPro-Regular" w:hAnsi="MinionPro-Regular"/>
                <w:lang w:val="es-ES_tradnl"/>
              </w:rPr>
              <w:t xml:space="preserve">Estimación de la </w:t>
            </w:r>
            <w:r>
              <w:rPr>
                <w:rFonts w:ascii="MinionPro-Regular" w:hAnsi="MinionPro-Regular"/>
                <w:lang w:val="es-ES_tradnl"/>
              </w:rPr>
              <w:lastRenderedPageBreak/>
              <w:t>b</w:t>
            </w:r>
            <w:r w:rsidRPr="00D2049F">
              <w:rPr>
                <w:rFonts w:ascii="MinionPro-Regular" w:hAnsi="MinionPro-Regular"/>
                <w:lang w:val="es-ES_tradnl"/>
              </w:rPr>
              <w:t>onificación 100% cuota empresarial de la seguridad social</w:t>
            </w:r>
          </w:p>
        </w:tc>
        <w:tc>
          <w:tcPr>
            <w:tcW w:w="2085" w:type="dxa"/>
            <w:vMerge w:val="restart"/>
            <w:vAlign w:val="center"/>
          </w:tcPr>
          <w:p w:rsidR="002862C5" w:rsidRPr="00A62C1C" w:rsidRDefault="002862C5" w:rsidP="00526E5A">
            <w:pPr>
              <w:spacing w:line="180" w:lineRule="atLeast"/>
              <w:rPr>
                <w:rFonts w:ascii="MinionPro-Regular" w:hAnsi="MinionPro-Regular"/>
                <w:lang w:val="es-ES_tradnl"/>
              </w:rPr>
            </w:pPr>
            <w:r>
              <w:rPr>
                <w:rFonts w:ascii="MinionPro-Regular" w:hAnsi="MinionPro-Regular"/>
                <w:lang w:val="es-ES_tradnl"/>
              </w:rPr>
              <w:lastRenderedPageBreak/>
              <w:t>12.898.163</w:t>
            </w:r>
          </w:p>
        </w:tc>
        <w:tc>
          <w:tcPr>
            <w:tcW w:w="1946" w:type="dxa"/>
          </w:tcPr>
          <w:p w:rsidR="002862C5" w:rsidRPr="00A62C1C" w:rsidRDefault="002862C5" w:rsidP="00526E5A">
            <w:pPr>
              <w:spacing w:line="180" w:lineRule="atLeast"/>
              <w:jc w:val="both"/>
              <w:rPr>
                <w:rFonts w:ascii="MinionPro-Regular" w:hAnsi="MinionPro-Regular"/>
                <w:lang w:val="es-ES_tradnl"/>
              </w:rPr>
            </w:pPr>
            <w:r w:rsidRPr="00A62C1C">
              <w:rPr>
                <w:rFonts w:ascii="MinionPro-Regular" w:hAnsi="MinionPro-Regular"/>
                <w:lang w:val="es-ES_tradnl"/>
              </w:rPr>
              <w:t>Ayudas LISMI</w:t>
            </w:r>
          </w:p>
        </w:tc>
        <w:tc>
          <w:tcPr>
            <w:tcW w:w="1969" w:type="dxa"/>
          </w:tcPr>
          <w:p w:rsidR="002862C5" w:rsidRPr="008D2A85" w:rsidRDefault="002862C5" w:rsidP="00526E5A">
            <w:pPr>
              <w:spacing w:line="180" w:lineRule="atLeast"/>
              <w:jc w:val="center"/>
              <w:rPr>
                <w:rFonts w:ascii="MinionPro-Regular" w:hAnsi="MinionPro-Regular"/>
                <w:lang w:val="es-ES_tradnl"/>
              </w:rPr>
            </w:pPr>
            <w:r w:rsidRPr="00D875B4">
              <w:rPr>
                <w:rFonts w:ascii="MinionPro-Regular" w:hAnsi="MinionPro-Regular"/>
                <w:lang w:val="es-ES_tradnl"/>
              </w:rPr>
              <w:t>96</w:t>
            </w:r>
            <w:r>
              <w:rPr>
                <w:rFonts w:ascii="MinionPro-Regular" w:hAnsi="MinionPro-Regular"/>
                <w:lang w:val="es-ES_tradnl"/>
              </w:rPr>
              <w:t>.</w:t>
            </w:r>
            <w:r w:rsidRPr="00D875B4">
              <w:rPr>
                <w:rFonts w:ascii="MinionPro-Regular" w:hAnsi="MinionPro-Regular"/>
                <w:lang w:val="es-ES_tradnl"/>
              </w:rPr>
              <w:t>836,56</w:t>
            </w:r>
          </w:p>
        </w:tc>
      </w:tr>
      <w:tr w:rsidR="002862C5" w:rsidRPr="005158FF" w:rsidTr="00526E5A">
        <w:trPr>
          <w:trHeight w:val="164"/>
        </w:trPr>
        <w:tc>
          <w:tcPr>
            <w:tcW w:w="2561" w:type="dxa"/>
            <w:vMerge/>
            <w:vAlign w:val="center"/>
          </w:tcPr>
          <w:p w:rsidR="002862C5" w:rsidRPr="00A62C1C" w:rsidRDefault="002862C5" w:rsidP="00526E5A">
            <w:pPr>
              <w:spacing w:line="180" w:lineRule="atLeast"/>
              <w:rPr>
                <w:rFonts w:ascii="MinionPro-Regular" w:hAnsi="MinionPro-Regular"/>
                <w:lang w:val="es-ES_tradnl"/>
              </w:rPr>
            </w:pPr>
          </w:p>
        </w:tc>
        <w:tc>
          <w:tcPr>
            <w:tcW w:w="2085" w:type="dxa"/>
            <w:vMerge/>
            <w:vAlign w:val="center"/>
          </w:tcPr>
          <w:p w:rsidR="002862C5" w:rsidRPr="00A62C1C" w:rsidRDefault="002862C5" w:rsidP="00526E5A">
            <w:pPr>
              <w:spacing w:line="180" w:lineRule="atLeast"/>
              <w:rPr>
                <w:rFonts w:ascii="MinionPro-Regular" w:hAnsi="MinionPro-Regular"/>
                <w:lang w:val="es-ES_tradnl"/>
              </w:rPr>
            </w:pPr>
          </w:p>
        </w:tc>
        <w:tc>
          <w:tcPr>
            <w:tcW w:w="1946" w:type="dxa"/>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Pensiones no contributivas</w:t>
            </w:r>
          </w:p>
        </w:tc>
        <w:tc>
          <w:tcPr>
            <w:tcW w:w="1969" w:type="dxa"/>
            <w:vAlign w:val="center"/>
          </w:tcPr>
          <w:p w:rsidR="002862C5" w:rsidRPr="008D2A85" w:rsidRDefault="002862C5" w:rsidP="00526E5A">
            <w:pPr>
              <w:spacing w:line="180" w:lineRule="atLeast"/>
              <w:jc w:val="center"/>
              <w:rPr>
                <w:rFonts w:ascii="MinionPro-Regular" w:hAnsi="MinionPro-Regular"/>
                <w:lang w:val="es-ES_tradnl"/>
              </w:rPr>
            </w:pPr>
            <w:r>
              <w:rPr>
                <w:rFonts w:ascii="MinionPro-Regular" w:hAnsi="MinionPro-Regular"/>
                <w:lang w:val="es-ES_tradnl"/>
              </w:rPr>
              <w:t>1.431.419,24</w:t>
            </w:r>
          </w:p>
        </w:tc>
      </w:tr>
      <w:tr w:rsidR="002862C5" w:rsidRPr="005158FF" w:rsidTr="00526E5A">
        <w:trPr>
          <w:trHeight w:val="164"/>
        </w:trPr>
        <w:tc>
          <w:tcPr>
            <w:tcW w:w="2561" w:type="dxa"/>
            <w:vMerge/>
            <w:vAlign w:val="center"/>
          </w:tcPr>
          <w:p w:rsidR="002862C5" w:rsidRPr="00A62C1C" w:rsidRDefault="002862C5" w:rsidP="00526E5A">
            <w:pPr>
              <w:spacing w:line="180" w:lineRule="atLeast"/>
              <w:rPr>
                <w:rFonts w:ascii="MinionPro-Regular" w:hAnsi="MinionPro-Regular"/>
                <w:b/>
                <w:lang w:val="es-ES_tradnl"/>
              </w:rPr>
            </w:pPr>
          </w:p>
        </w:tc>
        <w:tc>
          <w:tcPr>
            <w:tcW w:w="2085" w:type="dxa"/>
            <w:vMerge/>
            <w:vAlign w:val="center"/>
          </w:tcPr>
          <w:p w:rsidR="002862C5" w:rsidRPr="00A62C1C" w:rsidRDefault="002862C5" w:rsidP="00526E5A">
            <w:pPr>
              <w:spacing w:line="180" w:lineRule="atLeast"/>
              <w:rPr>
                <w:rFonts w:ascii="MinionPro-Regular" w:hAnsi="MinionPro-Regular"/>
                <w:lang w:val="es-ES_tradnl"/>
              </w:rPr>
            </w:pPr>
          </w:p>
        </w:tc>
        <w:tc>
          <w:tcPr>
            <w:tcW w:w="1946" w:type="dxa"/>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Pensiones contributivas</w:t>
            </w:r>
          </w:p>
        </w:tc>
        <w:tc>
          <w:tcPr>
            <w:tcW w:w="1969" w:type="dxa"/>
            <w:vAlign w:val="center"/>
          </w:tcPr>
          <w:p w:rsidR="002862C5" w:rsidRPr="008D2A85" w:rsidRDefault="002862C5" w:rsidP="00526E5A">
            <w:pPr>
              <w:jc w:val="center"/>
              <w:rPr>
                <w:rFonts w:ascii="MinionPro-Regular" w:hAnsi="MinionPro-Regular"/>
                <w:lang w:val="es-ES_tradnl"/>
              </w:rPr>
            </w:pPr>
            <w:r>
              <w:rPr>
                <w:rFonts w:ascii="MinionPro-Regular" w:hAnsi="MinionPro-Regular"/>
                <w:lang w:val="es-ES_tradnl"/>
              </w:rPr>
              <w:t>3.021.023,81</w:t>
            </w:r>
          </w:p>
        </w:tc>
      </w:tr>
      <w:tr w:rsidR="002862C5" w:rsidRPr="005158FF" w:rsidTr="00526E5A">
        <w:trPr>
          <w:trHeight w:val="164"/>
        </w:trPr>
        <w:tc>
          <w:tcPr>
            <w:tcW w:w="2561" w:type="dxa"/>
            <w:vMerge/>
            <w:vAlign w:val="center"/>
          </w:tcPr>
          <w:p w:rsidR="002862C5" w:rsidRPr="00A62C1C" w:rsidRDefault="002862C5" w:rsidP="00526E5A">
            <w:pPr>
              <w:spacing w:line="180" w:lineRule="atLeast"/>
              <w:rPr>
                <w:rFonts w:ascii="MinionPro-Regular" w:hAnsi="MinionPro-Regular"/>
                <w:lang w:val="es-ES_tradnl"/>
              </w:rPr>
            </w:pPr>
          </w:p>
        </w:tc>
        <w:tc>
          <w:tcPr>
            <w:tcW w:w="2085" w:type="dxa"/>
            <w:vMerge/>
            <w:vAlign w:val="center"/>
          </w:tcPr>
          <w:p w:rsidR="002862C5" w:rsidRPr="00A62C1C" w:rsidRDefault="002862C5" w:rsidP="00526E5A">
            <w:pPr>
              <w:spacing w:line="180" w:lineRule="atLeast"/>
              <w:rPr>
                <w:rFonts w:ascii="MinionPro-Regular" w:hAnsi="MinionPro-Regular"/>
                <w:lang w:val="es-ES_tradnl"/>
              </w:rPr>
            </w:pPr>
          </w:p>
        </w:tc>
        <w:tc>
          <w:tcPr>
            <w:tcW w:w="1946" w:type="dxa"/>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Ahorro en gasto sanitario</w:t>
            </w:r>
          </w:p>
        </w:tc>
        <w:tc>
          <w:tcPr>
            <w:tcW w:w="1969" w:type="dxa"/>
            <w:vAlign w:val="center"/>
          </w:tcPr>
          <w:p w:rsidR="002862C5" w:rsidRPr="00A62C1C" w:rsidRDefault="002862C5" w:rsidP="00526E5A">
            <w:pPr>
              <w:spacing w:line="180" w:lineRule="atLeast"/>
              <w:jc w:val="center"/>
              <w:rPr>
                <w:rFonts w:ascii="MinionPro-Regular" w:hAnsi="MinionPro-Regular"/>
                <w:lang w:val="es-ES_tradnl"/>
              </w:rPr>
            </w:pPr>
            <w:r>
              <w:rPr>
                <w:rFonts w:ascii="MinionPro-Regular" w:hAnsi="MinionPro-Regular"/>
                <w:lang w:val="es-ES_tradnl"/>
              </w:rPr>
              <w:t>5.947.494,73</w:t>
            </w:r>
          </w:p>
        </w:tc>
      </w:tr>
      <w:tr w:rsidR="002862C5" w:rsidRPr="005158FF" w:rsidTr="00526E5A">
        <w:trPr>
          <w:trHeight w:val="164"/>
        </w:trPr>
        <w:tc>
          <w:tcPr>
            <w:tcW w:w="2561" w:type="dxa"/>
            <w:vMerge/>
            <w:vAlign w:val="center"/>
          </w:tcPr>
          <w:p w:rsidR="002862C5" w:rsidRPr="00A62C1C" w:rsidRDefault="002862C5" w:rsidP="00526E5A">
            <w:pPr>
              <w:spacing w:line="180" w:lineRule="atLeast"/>
              <w:rPr>
                <w:rFonts w:ascii="MinionPro-Regular" w:hAnsi="MinionPro-Regular"/>
                <w:lang w:val="es-ES_tradnl"/>
              </w:rPr>
            </w:pPr>
          </w:p>
        </w:tc>
        <w:tc>
          <w:tcPr>
            <w:tcW w:w="2085" w:type="dxa"/>
            <w:vMerge/>
            <w:vAlign w:val="center"/>
          </w:tcPr>
          <w:p w:rsidR="002862C5" w:rsidRPr="00A62C1C" w:rsidRDefault="002862C5" w:rsidP="00526E5A">
            <w:pPr>
              <w:spacing w:line="180" w:lineRule="atLeast"/>
              <w:rPr>
                <w:rFonts w:ascii="MinionPro-Regular" w:hAnsi="MinionPro-Regular"/>
                <w:lang w:val="es-ES_tradnl"/>
              </w:rPr>
            </w:pPr>
          </w:p>
        </w:tc>
        <w:tc>
          <w:tcPr>
            <w:tcW w:w="1946" w:type="dxa"/>
            <w:vAlign w:val="center"/>
          </w:tcPr>
          <w:p w:rsidR="002862C5" w:rsidRPr="00A62C1C" w:rsidRDefault="002862C5" w:rsidP="00526E5A">
            <w:pPr>
              <w:spacing w:line="180" w:lineRule="atLeast"/>
              <w:rPr>
                <w:rFonts w:ascii="MinionPro-Regular" w:hAnsi="MinionPro-Regular"/>
                <w:lang w:val="es-ES_tradnl"/>
              </w:rPr>
            </w:pPr>
            <w:r>
              <w:rPr>
                <w:rFonts w:ascii="MinionPro-Regular" w:hAnsi="MinionPro-Regular"/>
                <w:lang w:val="es-ES_tradnl"/>
              </w:rPr>
              <w:t>Ahorro en plazas ocupacionales</w:t>
            </w:r>
          </w:p>
        </w:tc>
        <w:tc>
          <w:tcPr>
            <w:tcW w:w="1969" w:type="dxa"/>
            <w:vAlign w:val="center"/>
          </w:tcPr>
          <w:p w:rsidR="002862C5" w:rsidRPr="00A62C1C" w:rsidRDefault="002862C5" w:rsidP="00526E5A">
            <w:pPr>
              <w:spacing w:line="180" w:lineRule="atLeast"/>
              <w:jc w:val="center"/>
              <w:rPr>
                <w:rFonts w:ascii="MinionPro-Regular" w:hAnsi="MinionPro-Regular"/>
                <w:lang w:val="es-ES_tradnl"/>
              </w:rPr>
            </w:pPr>
            <w:r w:rsidRPr="00D875B4">
              <w:rPr>
                <w:rFonts w:ascii="MinionPro-Regular" w:hAnsi="MinionPro-Regular"/>
                <w:lang w:val="es-ES_tradnl"/>
              </w:rPr>
              <w:t>10</w:t>
            </w:r>
            <w:r>
              <w:rPr>
                <w:rFonts w:ascii="MinionPro-Regular" w:hAnsi="MinionPro-Regular"/>
                <w:lang w:val="es-ES_tradnl"/>
              </w:rPr>
              <w:t>.</w:t>
            </w:r>
            <w:r w:rsidRPr="00D875B4">
              <w:rPr>
                <w:rFonts w:ascii="MinionPro-Regular" w:hAnsi="MinionPro-Regular"/>
                <w:lang w:val="es-ES_tradnl"/>
              </w:rPr>
              <w:t>218</w:t>
            </w:r>
            <w:r>
              <w:rPr>
                <w:rFonts w:ascii="MinionPro-Regular" w:hAnsi="MinionPro-Regular"/>
                <w:lang w:val="es-ES_tradnl"/>
              </w:rPr>
              <w:t>.</w:t>
            </w:r>
            <w:r w:rsidRPr="00D875B4">
              <w:rPr>
                <w:rFonts w:ascii="MinionPro-Regular" w:hAnsi="MinionPro-Regular"/>
                <w:lang w:val="es-ES_tradnl"/>
              </w:rPr>
              <w:t>600</w:t>
            </w:r>
          </w:p>
        </w:tc>
      </w:tr>
      <w:tr w:rsidR="002862C5" w:rsidRPr="005158FF" w:rsidTr="00526E5A">
        <w:trPr>
          <w:trHeight w:val="164"/>
        </w:trPr>
        <w:tc>
          <w:tcPr>
            <w:tcW w:w="2561" w:type="dxa"/>
            <w:tcBorders>
              <w:bottom w:val="single" w:sz="12" w:space="0" w:color="409DAD"/>
            </w:tcBorders>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Total</w:t>
            </w:r>
          </w:p>
        </w:tc>
        <w:tc>
          <w:tcPr>
            <w:tcW w:w="2085" w:type="dxa"/>
            <w:tcBorders>
              <w:bottom w:val="single" w:sz="12" w:space="0" w:color="409DAD"/>
            </w:tcBorders>
            <w:vAlign w:val="center"/>
          </w:tcPr>
          <w:p w:rsidR="002862C5" w:rsidRPr="00A62C1C" w:rsidRDefault="002862C5" w:rsidP="00526E5A">
            <w:pPr>
              <w:spacing w:line="180" w:lineRule="atLeast"/>
              <w:jc w:val="center"/>
              <w:rPr>
                <w:rFonts w:ascii="MinionPro-Regular" w:hAnsi="MinionPro-Regular"/>
                <w:b/>
                <w:lang w:val="es-ES_tradnl"/>
              </w:rPr>
            </w:pPr>
            <w:r>
              <w:rPr>
                <w:rFonts w:ascii="MinionPro-Regular" w:hAnsi="MinionPro-Regular"/>
                <w:b/>
                <w:lang w:val="es-ES_tradnl"/>
              </w:rPr>
              <w:t>30.505.730,33</w:t>
            </w:r>
          </w:p>
        </w:tc>
        <w:tc>
          <w:tcPr>
            <w:tcW w:w="1946" w:type="dxa"/>
            <w:tcBorders>
              <w:bottom w:val="single" w:sz="12" w:space="0" w:color="409DAD"/>
            </w:tcBorders>
            <w:vAlign w:val="center"/>
          </w:tcPr>
          <w:p w:rsidR="002862C5" w:rsidRPr="00A62C1C" w:rsidRDefault="002862C5" w:rsidP="00526E5A">
            <w:pPr>
              <w:spacing w:line="180" w:lineRule="atLeast"/>
              <w:rPr>
                <w:rFonts w:ascii="MinionPro-Regular" w:hAnsi="MinionPro-Regular"/>
                <w:lang w:val="es-ES_tradnl"/>
              </w:rPr>
            </w:pPr>
            <w:r w:rsidRPr="00A62C1C">
              <w:rPr>
                <w:rFonts w:ascii="MinionPro-Regular" w:hAnsi="MinionPro-Regular"/>
                <w:lang w:val="es-ES_tradnl"/>
              </w:rPr>
              <w:t>Todos los conceptos de retorno</w:t>
            </w:r>
          </w:p>
        </w:tc>
        <w:tc>
          <w:tcPr>
            <w:tcW w:w="1969" w:type="dxa"/>
            <w:tcBorders>
              <w:bottom w:val="single" w:sz="12" w:space="0" w:color="409DAD"/>
            </w:tcBorders>
            <w:vAlign w:val="center"/>
          </w:tcPr>
          <w:p w:rsidR="002862C5" w:rsidRPr="00D2049F" w:rsidRDefault="00321899" w:rsidP="00526E5A">
            <w:pPr>
              <w:jc w:val="center"/>
              <w:rPr>
                <w:rFonts w:ascii="MinionPro-Regular" w:hAnsi="MinionPro-Regular"/>
                <w:b/>
                <w:lang w:val="es-ES_tradnl"/>
              </w:rPr>
            </w:pPr>
            <w:r w:rsidRPr="003120BD">
              <w:rPr>
                <w:rFonts w:ascii="MinionPro-Regular" w:hAnsi="MinionPro-Regular"/>
                <w:b/>
                <w:lang w:val="es-ES_tradnl"/>
              </w:rPr>
              <w:t>51.727.189</w:t>
            </w:r>
          </w:p>
        </w:tc>
      </w:tr>
    </w:tbl>
    <w:p w:rsidR="002862C5" w:rsidRPr="00F42E92" w:rsidRDefault="002862C5" w:rsidP="002862C5">
      <w:pPr>
        <w:autoSpaceDE w:val="0"/>
        <w:autoSpaceDN w:val="0"/>
        <w:spacing w:line="360" w:lineRule="auto"/>
        <w:jc w:val="both"/>
        <w:rPr>
          <w:rFonts w:ascii="MinionPro-Regular" w:hAnsi="MinionPro-Regular"/>
          <w:sz w:val="18"/>
          <w:szCs w:val="18"/>
          <w:lang w:val="es-ES_tradnl"/>
        </w:rPr>
      </w:pPr>
      <w:r w:rsidRPr="00F42E92">
        <w:rPr>
          <w:rFonts w:ascii="MinionPro-Regular" w:hAnsi="MinionPro-Regular"/>
          <w:sz w:val="18"/>
          <w:szCs w:val="18"/>
          <w:lang w:val="es-ES_tradnl"/>
        </w:rPr>
        <w:t>Datos de 2013</w:t>
      </w:r>
      <w:r w:rsidR="00720BE5">
        <w:rPr>
          <w:rFonts w:ascii="MinionPro-Regular" w:hAnsi="MinionPro-Regular"/>
          <w:sz w:val="18"/>
          <w:szCs w:val="18"/>
          <w:lang w:val="es-ES_tradnl"/>
        </w:rPr>
        <w:t>-2014</w:t>
      </w:r>
    </w:p>
    <w:p w:rsidR="002862C5" w:rsidRDefault="002862C5" w:rsidP="002862C5">
      <w:pPr>
        <w:autoSpaceDE w:val="0"/>
        <w:autoSpaceDN w:val="0"/>
        <w:spacing w:line="360" w:lineRule="auto"/>
        <w:jc w:val="both"/>
        <w:rPr>
          <w:rFonts w:ascii="MinionPro-Regular" w:hAnsi="MinionPro-Regular"/>
          <w:sz w:val="24"/>
          <w:szCs w:val="24"/>
          <w:lang w:val="es-ES_tradnl"/>
        </w:rPr>
      </w:pPr>
    </w:p>
    <w:p w:rsidR="002862C5" w:rsidRDefault="002862C5" w:rsidP="00425640">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Resumen</w:t>
      </w:r>
      <w:r w:rsidRPr="005C118C">
        <w:rPr>
          <w:rFonts w:ascii="MinionPro-Regular" w:hAnsi="MinionPro-Regular"/>
          <w:sz w:val="20"/>
        </w:rPr>
        <w:t xml:space="preserve"> del análisis de las ayudas de la administración pública y los retornos de los </w:t>
      </w:r>
      <w:r>
        <w:rPr>
          <w:rFonts w:ascii="MinionPro-Regular" w:hAnsi="MinionPro-Regular"/>
          <w:sz w:val="20"/>
        </w:rPr>
        <w:t>CEEs</w:t>
      </w:r>
      <w:r w:rsidRPr="005C118C">
        <w:rPr>
          <w:rFonts w:ascii="MinionPro-Regular" w:hAnsi="MinionPro-Regular"/>
          <w:sz w:val="20"/>
        </w:rPr>
        <w:t xml:space="preserve"> </w:t>
      </w:r>
      <w:r w:rsidR="00DB5D93">
        <w:rPr>
          <w:rFonts w:ascii="MinionPro-Regular" w:hAnsi="MinionPro-Regular"/>
          <w:sz w:val="20"/>
        </w:rPr>
        <w:t xml:space="preserve">de Castilla y León </w:t>
      </w:r>
      <w:r w:rsidRPr="005C118C">
        <w:rPr>
          <w:rFonts w:ascii="MinionPro-Regular" w:hAnsi="MinionPro-Regular"/>
          <w:sz w:val="20"/>
        </w:rPr>
        <w:t>según los distintos conceptos</w:t>
      </w:r>
      <w:r>
        <w:rPr>
          <w:rFonts w:ascii="MinionPro-Regular" w:hAnsi="MinionPro-Regular"/>
          <w:sz w:val="20"/>
        </w:rPr>
        <w:t>.</w:t>
      </w:r>
    </w:p>
    <w:p w:rsidR="00425640" w:rsidRDefault="00425640" w:rsidP="00425640">
      <w:pPr>
        <w:pBdr>
          <w:top w:val="single" w:sz="4" w:space="1" w:color="auto"/>
        </w:pBdr>
        <w:autoSpaceDE w:val="0"/>
        <w:autoSpaceDN w:val="0"/>
        <w:spacing w:line="360" w:lineRule="auto"/>
        <w:jc w:val="both"/>
        <w:rPr>
          <w:rFonts w:ascii="MinionPro-Regular" w:hAnsi="MinionPro-Regular"/>
          <w:sz w:val="20"/>
        </w:rPr>
      </w:pPr>
    </w:p>
    <w:p w:rsidR="002862C5" w:rsidRPr="005D1A1F" w:rsidRDefault="002862C5" w:rsidP="00425640">
      <w:pPr>
        <w:pBdr>
          <w:top w:val="single" w:sz="4" w:space="1" w:color="auto"/>
        </w:pBdr>
        <w:autoSpaceDE w:val="0"/>
        <w:autoSpaceDN w:val="0"/>
        <w:spacing w:line="360" w:lineRule="auto"/>
        <w:ind w:left="-426"/>
        <w:jc w:val="both"/>
        <w:rPr>
          <w:rFonts w:ascii="MinionPro-Regular" w:hAnsi="MinionPro-Regular"/>
          <w:sz w:val="20"/>
        </w:rPr>
      </w:pPr>
      <w:r>
        <w:rPr>
          <w:noProof/>
          <w:lang w:eastAsia="es-ES"/>
        </w:rPr>
        <w:drawing>
          <wp:inline distT="0" distB="0" distL="0" distR="0">
            <wp:extent cx="5819775" cy="30861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62C5" w:rsidRDefault="002862C5" w:rsidP="002862C5">
      <w:pPr>
        <w:autoSpaceDE w:val="0"/>
        <w:autoSpaceDN w:val="0"/>
        <w:spacing w:line="360" w:lineRule="auto"/>
        <w:jc w:val="both"/>
        <w:rPr>
          <w:rFonts w:ascii="MinionPro-Regular" w:hAnsi="MinionPro-Regular"/>
          <w:sz w:val="20"/>
        </w:rPr>
      </w:pPr>
      <w:r w:rsidRPr="005C118C">
        <w:rPr>
          <w:rFonts w:ascii="MinionPro-Regular" w:hAnsi="MinionPro-Regular"/>
          <w:sz w:val="20"/>
        </w:rPr>
        <w:t xml:space="preserve">Fuente: </w:t>
      </w:r>
      <w:r>
        <w:rPr>
          <w:rFonts w:ascii="MinionPro-Regular" w:hAnsi="MinionPro-Regular"/>
          <w:sz w:val="20"/>
        </w:rPr>
        <w:t>E</w:t>
      </w:r>
      <w:r w:rsidRPr="005C118C">
        <w:rPr>
          <w:rFonts w:ascii="MinionPro-Regular" w:hAnsi="MinionPro-Regular"/>
          <w:sz w:val="20"/>
        </w:rPr>
        <w:t>laboración propia</w:t>
      </w:r>
    </w:p>
    <w:p w:rsidR="002862C5" w:rsidRDefault="007751C0" w:rsidP="002862C5">
      <w:pPr>
        <w:pBdr>
          <w:bottom w:val="single" w:sz="4" w:space="1"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 xml:space="preserve">Nota </w:t>
      </w:r>
      <w:r w:rsidR="002862C5" w:rsidRPr="001137F5">
        <w:rPr>
          <w:rFonts w:ascii="MinionPro-Regular" w:hAnsi="MinionPro-Regular"/>
          <w:sz w:val="20"/>
          <w:lang w:val="es-ES_tradnl"/>
        </w:rPr>
        <w:t>explicativa de la gráfica:</w:t>
      </w:r>
      <w:r w:rsidR="002862C5">
        <w:rPr>
          <w:rFonts w:ascii="MinionPro-Regular" w:hAnsi="MinionPro-Regular"/>
          <w:sz w:val="20"/>
          <w:lang w:val="es-ES_tradnl"/>
        </w:rPr>
        <w:t xml:space="preserve"> Eje vertical, euros. Eje horizontal, conceptos considerados en la medición del impacto: Retorno derivado del IRPF (3.695.946 euros), retorno derivado de la cuota de seguridad social (7.447.483 euros), retorno derivado del IVA (</w:t>
      </w:r>
      <w:r w:rsidR="00583A54">
        <w:rPr>
          <w:rFonts w:ascii="MinionPro-Regular" w:hAnsi="MinionPro-Regular"/>
          <w:sz w:val="20"/>
          <w:lang w:val="es-ES_tradnl"/>
        </w:rPr>
        <w:t>17.736.035</w:t>
      </w:r>
      <w:r w:rsidR="002862C5" w:rsidRPr="00CB432C">
        <w:rPr>
          <w:rFonts w:ascii="MinionPro-Regular" w:hAnsi="MinionPro-Regular"/>
          <w:sz w:val="20"/>
          <w:lang w:val="es-ES_tradnl"/>
        </w:rPr>
        <w:t xml:space="preserve"> </w:t>
      </w:r>
      <w:r w:rsidR="002862C5">
        <w:rPr>
          <w:rFonts w:ascii="MinionPro-Regular" w:hAnsi="MinionPro-Regular"/>
          <w:sz w:val="20"/>
          <w:lang w:val="es-ES_tradnl"/>
        </w:rPr>
        <w:t>euros), retorno derivado del impuesto de sociedades (</w:t>
      </w:r>
      <w:r w:rsidR="002862C5" w:rsidRPr="00CB432C">
        <w:rPr>
          <w:rFonts w:ascii="MinionPro-Regular" w:hAnsi="MinionPro-Regular"/>
          <w:sz w:val="20"/>
          <w:lang w:val="es-ES_tradnl"/>
        </w:rPr>
        <w:t xml:space="preserve">2.132.350,28 </w:t>
      </w:r>
      <w:r w:rsidR="002862C5">
        <w:rPr>
          <w:rFonts w:ascii="MinionPro-Regular" w:hAnsi="MinionPro-Regular"/>
          <w:sz w:val="20"/>
          <w:lang w:val="es-ES_tradnl"/>
        </w:rPr>
        <w:t>euros), retorno derivad</w:t>
      </w:r>
      <w:r w:rsidR="00425640">
        <w:rPr>
          <w:rFonts w:ascii="MinionPro-Regular" w:hAnsi="MinionPro-Regular"/>
          <w:sz w:val="20"/>
          <w:lang w:val="es-ES_tradnl"/>
        </w:rPr>
        <w:t>o de las ayudas LISMI (96.837</w:t>
      </w:r>
      <w:r w:rsidR="002862C5" w:rsidRPr="00CB432C">
        <w:rPr>
          <w:rFonts w:ascii="MinionPro-Regular" w:hAnsi="MinionPro-Regular"/>
          <w:sz w:val="20"/>
          <w:lang w:val="es-ES_tradnl"/>
        </w:rPr>
        <w:t xml:space="preserve"> </w:t>
      </w:r>
      <w:r w:rsidR="002862C5" w:rsidRPr="001D2A97">
        <w:rPr>
          <w:rFonts w:ascii="MinionPro-Regular" w:hAnsi="MinionPro-Regular"/>
          <w:sz w:val="20"/>
          <w:lang w:val="es-ES_tradnl"/>
        </w:rPr>
        <w:t>euros),</w:t>
      </w:r>
      <w:r w:rsidR="002862C5">
        <w:rPr>
          <w:rFonts w:ascii="MinionPro-Regular" w:hAnsi="MinionPro-Regular"/>
          <w:sz w:val="20"/>
          <w:lang w:val="es-ES_tradnl"/>
        </w:rPr>
        <w:t xml:space="preserve"> retorno </w:t>
      </w:r>
      <w:r w:rsidR="002C4D7D">
        <w:rPr>
          <w:rFonts w:ascii="MinionPro-Regular" w:hAnsi="MinionPro-Regular"/>
          <w:sz w:val="20"/>
          <w:lang w:val="es-ES_tradnl"/>
        </w:rPr>
        <w:t xml:space="preserve">derivado de las </w:t>
      </w:r>
      <w:r w:rsidR="002862C5">
        <w:rPr>
          <w:rFonts w:ascii="MinionPro-Regular" w:hAnsi="MinionPro-Regular"/>
          <w:sz w:val="20"/>
          <w:lang w:val="es-ES_tradnl"/>
        </w:rPr>
        <w:t>pensiones no contributivas (</w:t>
      </w:r>
      <w:r w:rsidR="002862C5" w:rsidRPr="00CB432C">
        <w:rPr>
          <w:rFonts w:ascii="MinionPro-Regular" w:hAnsi="MinionPro-Regular"/>
          <w:sz w:val="20"/>
          <w:lang w:val="es-ES_tradnl"/>
        </w:rPr>
        <w:t xml:space="preserve">1.431.419,24 </w:t>
      </w:r>
      <w:r w:rsidR="002862C5">
        <w:rPr>
          <w:rFonts w:ascii="MinionPro-Regular" w:hAnsi="MinionPro-Regular"/>
          <w:sz w:val="20"/>
          <w:lang w:val="es-ES_tradnl"/>
        </w:rPr>
        <w:t>euros), retorno derivado de las pensiones contributivas (</w:t>
      </w:r>
      <w:r w:rsidR="002862C5" w:rsidRPr="00CB432C">
        <w:rPr>
          <w:rFonts w:ascii="MinionPro-Regular" w:hAnsi="MinionPro-Regular"/>
          <w:sz w:val="20"/>
          <w:lang w:val="es-ES_tradnl"/>
        </w:rPr>
        <w:t xml:space="preserve">3.021.023,81 </w:t>
      </w:r>
      <w:r w:rsidR="002862C5" w:rsidRPr="001D2A97">
        <w:rPr>
          <w:rFonts w:ascii="MinionPro-Regular" w:hAnsi="MinionPro-Regular"/>
          <w:sz w:val="20"/>
          <w:lang w:val="es-ES_tradnl"/>
        </w:rPr>
        <w:t xml:space="preserve">euros), </w:t>
      </w:r>
      <w:r w:rsidR="002862C5" w:rsidRPr="00937DA5">
        <w:rPr>
          <w:rFonts w:ascii="MinionPro-Regular" w:hAnsi="MinionPro-Regular"/>
          <w:sz w:val="20"/>
          <w:lang w:val="es-ES_tradnl"/>
        </w:rPr>
        <w:t>retorno derivado del ahorro sanitario (</w:t>
      </w:r>
      <w:r w:rsidR="002862C5" w:rsidRPr="00CB432C">
        <w:rPr>
          <w:rFonts w:ascii="MinionPro-Regular" w:hAnsi="MinionPro-Regular"/>
          <w:sz w:val="20"/>
          <w:lang w:val="es-ES_tradnl"/>
        </w:rPr>
        <w:t xml:space="preserve">5.947.494,73 </w:t>
      </w:r>
      <w:r w:rsidR="002862C5" w:rsidRPr="00937DA5">
        <w:rPr>
          <w:rFonts w:ascii="MinionPro-Regular" w:hAnsi="MinionPro-Regular"/>
          <w:sz w:val="20"/>
          <w:lang w:val="es-ES_tradnl"/>
        </w:rPr>
        <w:t>euros)</w:t>
      </w:r>
      <w:r w:rsidR="002862C5">
        <w:rPr>
          <w:rFonts w:ascii="MinionPro-Regular" w:hAnsi="MinionPro-Regular"/>
          <w:sz w:val="20"/>
          <w:lang w:val="es-ES_tradnl"/>
        </w:rPr>
        <w:t xml:space="preserve"> y ahorro en plazas </w:t>
      </w:r>
      <w:r w:rsidR="002862C5">
        <w:rPr>
          <w:rFonts w:ascii="MinionPro-Regular" w:hAnsi="MinionPro-Regular"/>
          <w:sz w:val="20"/>
          <w:lang w:val="es-ES_tradnl"/>
        </w:rPr>
        <w:lastRenderedPageBreak/>
        <w:t>ocupacionales derivado de la transición desde el centro especial de empleo (</w:t>
      </w:r>
      <w:r w:rsidR="002862C5" w:rsidRPr="00CB432C">
        <w:rPr>
          <w:rFonts w:ascii="MinionPro-Regular" w:hAnsi="MinionPro-Regular"/>
          <w:sz w:val="20"/>
          <w:lang w:val="es-ES_tradnl"/>
        </w:rPr>
        <w:t xml:space="preserve">10.218.600 </w:t>
      </w:r>
      <w:r w:rsidR="002862C5" w:rsidRPr="005C1B58">
        <w:rPr>
          <w:rFonts w:ascii="MinionPro-Regular" w:hAnsi="MinionPro-Regular"/>
          <w:sz w:val="20"/>
          <w:lang w:val="es-ES_tradnl"/>
        </w:rPr>
        <w:t>euros</w:t>
      </w:r>
      <w:r w:rsidR="002862C5">
        <w:rPr>
          <w:rFonts w:ascii="MinionPro-Regular" w:hAnsi="MinionPro-Regular"/>
          <w:sz w:val="20"/>
          <w:lang w:val="es-ES_tradnl"/>
        </w:rPr>
        <w:t xml:space="preserve">). </w:t>
      </w:r>
      <w:r w:rsidR="002862C5" w:rsidRPr="00937DA5">
        <w:rPr>
          <w:rFonts w:ascii="MinionPro-Regular" w:hAnsi="MinionPro-Regular"/>
          <w:sz w:val="20"/>
          <w:lang w:val="es-ES_tradnl"/>
        </w:rPr>
        <w:t xml:space="preserve">Total retorno de los </w:t>
      </w:r>
      <w:r w:rsidR="002862C5">
        <w:rPr>
          <w:rFonts w:ascii="MinionPro-Regular" w:hAnsi="MinionPro-Regular"/>
          <w:sz w:val="20"/>
          <w:lang w:val="es-ES_tradnl"/>
        </w:rPr>
        <w:t>CEEs</w:t>
      </w:r>
      <w:r w:rsidR="002862C5" w:rsidRPr="00937DA5">
        <w:rPr>
          <w:rFonts w:ascii="MinionPro-Regular" w:hAnsi="MinionPro-Regular"/>
          <w:sz w:val="20"/>
          <w:lang w:val="es-ES_tradnl"/>
        </w:rPr>
        <w:t xml:space="preserve">: </w:t>
      </w:r>
      <w:r w:rsidR="003C4DD0">
        <w:rPr>
          <w:rFonts w:ascii="MinionPro-Regular" w:hAnsi="MinionPro-Regular"/>
          <w:sz w:val="20"/>
          <w:lang w:val="es-ES_tradnl"/>
        </w:rPr>
        <w:t>51.727.189</w:t>
      </w:r>
      <w:r w:rsidR="002862C5" w:rsidRPr="00CB432C">
        <w:rPr>
          <w:rFonts w:ascii="MinionPro-Regular" w:hAnsi="MinionPro-Regular"/>
          <w:sz w:val="20"/>
          <w:lang w:val="es-ES_tradnl"/>
        </w:rPr>
        <w:t xml:space="preserve"> </w:t>
      </w:r>
      <w:r w:rsidR="002862C5" w:rsidRPr="001D2A97">
        <w:rPr>
          <w:rFonts w:ascii="MinionPro-Regular" w:hAnsi="MinionPro-Regular"/>
          <w:sz w:val="20"/>
          <w:lang w:val="es-ES_tradnl"/>
        </w:rPr>
        <w:t>euros</w:t>
      </w:r>
      <w:r w:rsidR="002862C5">
        <w:rPr>
          <w:rFonts w:ascii="MinionPro-Regular" w:hAnsi="MinionPro-Regular"/>
          <w:sz w:val="20"/>
          <w:lang w:val="es-ES_tradnl"/>
        </w:rPr>
        <w:t xml:space="preserve">. Ayudas totales de la administración pública: </w:t>
      </w:r>
      <w:r w:rsidR="003C4DD0">
        <w:rPr>
          <w:rFonts w:ascii="MinionPro-Regular" w:hAnsi="MinionPro-Regular"/>
          <w:sz w:val="20"/>
          <w:lang w:val="es-ES_tradnl"/>
        </w:rPr>
        <w:t>30.505.730</w:t>
      </w:r>
      <w:r w:rsidR="002862C5" w:rsidRPr="00CB432C">
        <w:rPr>
          <w:rFonts w:ascii="MinionPro-Regular" w:hAnsi="MinionPro-Regular"/>
          <w:sz w:val="20"/>
          <w:lang w:val="es-ES_tradnl"/>
        </w:rPr>
        <w:t xml:space="preserve"> </w:t>
      </w:r>
      <w:r w:rsidR="002862C5">
        <w:rPr>
          <w:rFonts w:ascii="MinionPro-Regular" w:hAnsi="MinionPro-Regular"/>
          <w:sz w:val="20"/>
          <w:lang w:val="es-ES_tradnl"/>
        </w:rPr>
        <w:t>euros.</w:t>
      </w:r>
      <w:bookmarkStart w:id="17" w:name="_Toc344964113"/>
      <w:bookmarkStart w:id="18" w:name="_Toc344964114"/>
      <w:bookmarkStart w:id="19" w:name="_Toc344964115"/>
      <w:bookmarkStart w:id="20" w:name="_Toc344964116"/>
      <w:bookmarkStart w:id="21" w:name="_Toc341468501"/>
      <w:bookmarkStart w:id="22" w:name="_Toc341468551"/>
      <w:bookmarkStart w:id="23" w:name="_Toc341470539"/>
      <w:bookmarkStart w:id="24" w:name="_Toc341470542"/>
      <w:bookmarkStart w:id="25" w:name="empleopr"/>
      <w:bookmarkEnd w:id="17"/>
      <w:bookmarkEnd w:id="18"/>
      <w:bookmarkEnd w:id="19"/>
      <w:bookmarkEnd w:id="20"/>
      <w:bookmarkEnd w:id="21"/>
      <w:bookmarkEnd w:id="22"/>
      <w:bookmarkEnd w:id="23"/>
      <w:bookmarkEnd w:id="24"/>
      <w:bookmarkEnd w:id="25"/>
    </w:p>
    <w:p w:rsidR="002862C5" w:rsidRPr="00F42E92" w:rsidRDefault="00720BE5" w:rsidP="002862C5">
      <w:pPr>
        <w:autoSpaceDE w:val="0"/>
        <w:autoSpaceDN w:val="0"/>
        <w:spacing w:line="360" w:lineRule="auto"/>
        <w:jc w:val="both"/>
        <w:rPr>
          <w:rFonts w:ascii="MinionPro-Regular" w:hAnsi="MinionPro-Regular"/>
          <w:sz w:val="18"/>
          <w:szCs w:val="18"/>
          <w:lang w:val="es-ES_tradnl"/>
        </w:rPr>
      </w:pPr>
      <w:r>
        <w:rPr>
          <w:rFonts w:ascii="MinionPro-Regular" w:hAnsi="MinionPro-Regular"/>
          <w:sz w:val="18"/>
          <w:szCs w:val="18"/>
          <w:lang w:val="es-ES_tradnl"/>
        </w:rPr>
        <w:t>Datos de 2013-2014</w:t>
      </w:r>
    </w:p>
    <w:p w:rsidR="00336EE3" w:rsidRDefault="00336EE3" w:rsidP="00FF7113">
      <w:pPr>
        <w:autoSpaceDE w:val="0"/>
        <w:autoSpaceDN w:val="0"/>
        <w:spacing w:line="360" w:lineRule="auto"/>
        <w:jc w:val="both"/>
        <w:rPr>
          <w:rFonts w:ascii="MinionPro-Regular" w:hAnsi="MinionPro-Regular"/>
          <w:sz w:val="24"/>
          <w:szCs w:val="24"/>
          <w:lang w:val="es-ES_tradnl"/>
        </w:rPr>
      </w:pPr>
    </w:p>
    <w:p w:rsidR="00336EE3" w:rsidRDefault="00336EE3" w:rsidP="00FF7113">
      <w:pPr>
        <w:autoSpaceDE w:val="0"/>
        <w:autoSpaceDN w:val="0"/>
        <w:spacing w:line="360" w:lineRule="auto"/>
        <w:jc w:val="both"/>
        <w:rPr>
          <w:rFonts w:ascii="MinionPro-Regular" w:hAnsi="MinionPro-Regular"/>
          <w:sz w:val="24"/>
          <w:szCs w:val="24"/>
          <w:lang w:val="es-ES_tradnl"/>
        </w:rPr>
      </w:pPr>
    </w:p>
    <w:p w:rsidR="00FF7113" w:rsidRDefault="00FF7113" w:rsidP="00FF7113">
      <w:pPr>
        <w:pBdr>
          <w:bottom w:val="single" w:sz="4" w:space="1" w:color="auto"/>
        </w:pBd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Cuadro resumen del análisis de las ayudas de la administración pública y los retornos de los centros especiales de empleo de toda España según los distintos conceptos</w:t>
      </w:r>
      <w:r w:rsidR="00336EE3">
        <w:rPr>
          <w:rFonts w:ascii="MinionPro-Regular" w:hAnsi="MinionPro-Regular"/>
          <w:sz w:val="24"/>
          <w:szCs w:val="24"/>
          <w:lang w:val="es-ES_tradnl"/>
        </w:rPr>
        <w:t>:</w:t>
      </w:r>
    </w:p>
    <w:p w:rsidR="00FF7113" w:rsidRDefault="00FF7113" w:rsidP="00FF7113">
      <w:pPr>
        <w:autoSpaceDE w:val="0"/>
        <w:autoSpaceDN w:val="0"/>
        <w:spacing w:line="360" w:lineRule="auto"/>
        <w:jc w:val="both"/>
        <w:rPr>
          <w:rFonts w:ascii="MinionPro-Regular" w:hAnsi="MinionPro-Regular"/>
          <w:sz w:val="24"/>
          <w:szCs w:val="24"/>
          <w:lang w:val="es-ES_tradnl"/>
        </w:rPr>
      </w:pPr>
    </w:p>
    <w:tbl>
      <w:tblPr>
        <w:tblW w:w="0" w:type="auto"/>
        <w:tblBorders>
          <w:bottom w:val="single" w:sz="12" w:space="0" w:color="409DAD"/>
        </w:tblBorders>
        <w:tblCellMar>
          <w:top w:w="28" w:type="dxa"/>
          <w:left w:w="28" w:type="dxa"/>
          <w:bottom w:w="28" w:type="dxa"/>
          <w:right w:w="28" w:type="dxa"/>
        </w:tblCellMar>
        <w:tblLook w:val="00A0"/>
      </w:tblPr>
      <w:tblGrid>
        <w:gridCol w:w="2561"/>
        <w:gridCol w:w="2085"/>
        <w:gridCol w:w="1946"/>
        <w:gridCol w:w="1969"/>
      </w:tblGrid>
      <w:tr w:rsidR="00FF7113" w:rsidRPr="005158FF" w:rsidTr="00FF7113">
        <w:trPr>
          <w:trHeight w:val="597"/>
        </w:trPr>
        <w:tc>
          <w:tcPr>
            <w:tcW w:w="2561" w:type="dxa"/>
            <w:tcBorders>
              <w:bottom w:val="nil"/>
            </w:tcBorders>
            <w:shd w:val="clear" w:color="auto" w:fill="409DAD"/>
            <w:vAlign w:val="center"/>
          </w:tcPr>
          <w:p w:rsidR="00FF7113" w:rsidRPr="00A62C1C" w:rsidRDefault="00FF7113" w:rsidP="00FF7113">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Ayudas de la administración pública</w:t>
            </w:r>
          </w:p>
        </w:tc>
        <w:tc>
          <w:tcPr>
            <w:tcW w:w="2085" w:type="dxa"/>
            <w:tcBorders>
              <w:bottom w:val="nil"/>
            </w:tcBorders>
            <w:shd w:val="clear" w:color="auto" w:fill="409DAD"/>
            <w:vAlign w:val="center"/>
          </w:tcPr>
          <w:p w:rsidR="00FF7113" w:rsidRPr="00A62C1C" w:rsidRDefault="00FF7113" w:rsidP="00FF7113">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Cantidades </w:t>
            </w:r>
          </w:p>
          <w:p w:rsidR="00FF7113" w:rsidRPr="00A62C1C" w:rsidRDefault="00FF7113" w:rsidP="00FF7113">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totales (euros)</w:t>
            </w:r>
          </w:p>
        </w:tc>
        <w:tc>
          <w:tcPr>
            <w:tcW w:w="1946" w:type="dxa"/>
            <w:tcBorders>
              <w:bottom w:val="nil"/>
            </w:tcBorders>
            <w:shd w:val="clear" w:color="auto" w:fill="409DAD"/>
            <w:vAlign w:val="center"/>
          </w:tcPr>
          <w:p w:rsidR="00FF7113" w:rsidRPr="00A62C1C" w:rsidRDefault="00FF7113">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Retorno de los </w:t>
            </w:r>
            <w:r w:rsidR="00222CDD">
              <w:rPr>
                <w:rFonts w:ascii="MinionPro-Regular" w:hAnsi="MinionPro-Regular"/>
                <w:b/>
                <w:color w:val="FFFFFF"/>
                <w:lang w:val="es-ES_tradnl"/>
              </w:rPr>
              <w:t xml:space="preserve">CEEs </w:t>
            </w:r>
            <w:r w:rsidR="00262010">
              <w:rPr>
                <w:rFonts w:ascii="MinionPro-Regular" w:hAnsi="MinionPro-Regular"/>
                <w:b/>
                <w:color w:val="FFFFFF"/>
                <w:lang w:val="es-ES_tradnl"/>
              </w:rPr>
              <w:t>de España</w:t>
            </w:r>
          </w:p>
        </w:tc>
        <w:tc>
          <w:tcPr>
            <w:tcW w:w="1969" w:type="dxa"/>
            <w:tcBorders>
              <w:bottom w:val="nil"/>
            </w:tcBorders>
            <w:shd w:val="clear" w:color="auto" w:fill="409DAD"/>
            <w:vAlign w:val="center"/>
          </w:tcPr>
          <w:p w:rsidR="00FF7113" w:rsidRPr="00A62C1C" w:rsidRDefault="00FF7113" w:rsidP="00FF7113">
            <w:pPr>
              <w:spacing w:line="180" w:lineRule="atLeast"/>
              <w:rPr>
                <w:rFonts w:ascii="MinionPro-Regular" w:hAnsi="MinionPro-Regular"/>
                <w:b/>
                <w:color w:val="FFFFFF"/>
                <w:lang w:val="es-ES_tradnl"/>
              </w:rPr>
            </w:pPr>
            <w:r w:rsidRPr="00A62C1C">
              <w:rPr>
                <w:rFonts w:ascii="MinionPro-Regular" w:hAnsi="MinionPro-Regular"/>
                <w:b/>
                <w:color w:val="FFFFFF"/>
                <w:lang w:val="es-ES_tradnl"/>
              </w:rPr>
              <w:t xml:space="preserve">Cantidades </w:t>
            </w:r>
          </w:p>
          <w:p w:rsidR="00FF7113" w:rsidRPr="00A62C1C" w:rsidRDefault="00FF7113" w:rsidP="00FF7113">
            <w:pPr>
              <w:spacing w:line="180" w:lineRule="atLeast"/>
              <w:rPr>
                <w:rFonts w:ascii="MinionPro-Regular" w:hAnsi="MinionPro-Regular"/>
                <w:color w:val="FFFFFF"/>
                <w:lang w:val="es-ES_tradnl"/>
              </w:rPr>
            </w:pPr>
            <w:r w:rsidRPr="00A62C1C">
              <w:rPr>
                <w:rFonts w:ascii="MinionPro-Regular" w:hAnsi="MinionPro-Regular"/>
                <w:b/>
                <w:color w:val="FFFFFF"/>
                <w:lang w:val="es-ES_tradnl"/>
              </w:rPr>
              <w:t>totales estimadas (euros)</w:t>
            </w:r>
          </w:p>
        </w:tc>
      </w:tr>
      <w:tr w:rsidR="00FF7113" w:rsidRPr="005158FF" w:rsidTr="00FF7113">
        <w:trPr>
          <w:trHeight w:val="290"/>
        </w:trPr>
        <w:tc>
          <w:tcPr>
            <w:tcW w:w="8561" w:type="dxa"/>
            <w:gridSpan w:val="4"/>
            <w:tcBorders>
              <w:bottom w:val="single" w:sz="4" w:space="0" w:color="auto"/>
            </w:tcBorders>
            <w:vAlign w:val="center"/>
          </w:tcPr>
          <w:p w:rsidR="00FF7113" w:rsidRPr="00A62C1C" w:rsidRDefault="00FF7113" w:rsidP="00FF7113">
            <w:pPr>
              <w:spacing w:line="180" w:lineRule="atLeast"/>
              <w:jc w:val="center"/>
              <w:rPr>
                <w:rFonts w:ascii="MinionPro-Regular" w:hAnsi="MinionPro-Regular"/>
                <w:bCs/>
                <w:lang w:val="es-ES_tradnl"/>
              </w:rPr>
            </w:pPr>
            <w:r w:rsidRPr="00A62C1C">
              <w:rPr>
                <w:rFonts w:ascii="MinionPro-Regular" w:hAnsi="MinionPro-Regular"/>
                <w:b/>
                <w:lang w:val="es-ES_tradnl"/>
              </w:rPr>
              <w:t>Con salida de efectivo</w:t>
            </w:r>
          </w:p>
        </w:tc>
      </w:tr>
      <w:tr w:rsidR="00FF7113" w:rsidRPr="005158FF" w:rsidTr="00FF7113">
        <w:trPr>
          <w:trHeight w:val="290"/>
        </w:trPr>
        <w:tc>
          <w:tcPr>
            <w:tcW w:w="2561" w:type="dxa"/>
            <w:vMerge w:val="restart"/>
            <w:tcBorders>
              <w:top w:val="single" w:sz="4" w:space="0" w:color="auto"/>
            </w:tcBorders>
            <w:vAlign w:val="center"/>
          </w:tcPr>
          <w:p w:rsidR="00FF7113" w:rsidRPr="00D2049F" w:rsidRDefault="00FF7113">
            <w:pPr>
              <w:spacing w:line="180" w:lineRule="atLeast"/>
              <w:rPr>
                <w:rFonts w:ascii="MinionPro-Regular" w:hAnsi="MinionPro-Regular"/>
                <w:lang w:val="es-ES_tradnl"/>
              </w:rPr>
            </w:pPr>
            <w:r w:rsidRPr="00D2049F">
              <w:rPr>
                <w:rFonts w:ascii="MinionPro-Regular" w:hAnsi="MinionPro-Regular"/>
                <w:lang w:val="es-ES_tradnl"/>
              </w:rPr>
              <w:t xml:space="preserve">Compromiso de gasto para </w:t>
            </w:r>
            <w:r w:rsidR="00222CDD">
              <w:rPr>
                <w:rFonts w:ascii="MinionPro-Regular" w:hAnsi="MinionPro-Regular"/>
                <w:lang w:val="es-ES_tradnl"/>
              </w:rPr>
              <w:t>CEEs</w:t>
            </w:r>
          </w:p>
        </w:tc>
        <w:tc>
          <w:tcPr>
            <w:tcW w:w="2085" w:type="dxa"/>
            <w:vMerge w:val="restart"/>
            <w:tcBorders>
              <w:top w:val="single" w:sz="4" w:space="0" w:color="auto"/>
            </w:tcBorders>
            <w:vAlign w:val="center"/>
          </w:tcPr>
          <w:p w:rsidR="00FF7113" w:rsidRPr="00A62C1C" w:rsidRDefault="00FF7113" w:rsidP="00FF7113">
            <w:pPr>
              <w:spacing w:line="180" w:lineRule="atLeast"/>
              <w:jc w:val="center"/>
              <w:rPr>
                <w:rFonts w:ascii="MinionPro-Regular" w:hAnsi="MinionPro-Regular"/>
                <w:lang w:val="es-ES_tradnl"/>
              </w:rPr>
            </w:pPr>
            <w:r w:rsidRPr="00A62C1C">
              <w:rPr>
                <w:rFonts w:ascii="MinionPro-Regular" w:hAnsi="MinionPro-Regular"/>
                <w:lang w:val="es-ES_tradnl"/>
              </w:rPr>
              <w:t>323.514.020</w:t>
            </w:r>
          </w:p>
        </w:tc>
        <w:tc>
          <w:tcPr>
            <w:tcW w:w="1946" w:type="dxa"/>
            <w:tcBorders>
              <w:top w:val="single" w:sz="4" w:space="0" w:color="auto"/>
            </w:tcBorders>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IRPF y seguridad social</w:t>
            </w:r>
          </w:p>
        </w:tc>
        <w:tc>
          <w:tcPr>
            <w:tcW w:w="1969" w:type="dxa"/>
            <w:tcBorders>
              <w:top w:val="single" w:sz="4" w:space="0" w:color="auto"/>
            </w:tcBorders>
            <w:vAlign w:val="center"/>
          </w:tcPr>
          <w:p w:rsidR="00FF7113" w:rsidRPr="00A62C1C" w:rsidRDefault="00FF7113" w:rsidP="00FF7113">
            <w:pPr>
              <w:spacing w:line="180" w:lineRule="atLeast"/>
              <w:jc w:val="center"/>
              <w:rPr>
                <w:rFonts w:ascii="MinionPro-Regular" w:hAnsi="MinionPro-Regular"/>
                <w:lang w:val="es-ES_tradnl"/>
              </w:rPr>
            </w:pPr>
            <w:r w:rsidRPr="00A62C1C">
              <w:rPr>
                <w:rFonts w:ascii="MinionPro-Regular" w:hAnsi="MinionPro-Regular"/>
                <w:lang w:val="es-ES_tradnl"/>
              </w:rPr>
              <w:t>179.332.171</w:t>
            </w:r>
          </w:p>
        </w:tc>
      </w:tr>
      <w:tr w:rsidR="00FF7113" w:rsidRPr="005158FF" w:rsidTr="00FF7113">
        <w:trPr>
          <w:trHeight w:val="164"/>
        </w:trPr>
        <w:tc>
          <w:tcPr>
            <w:tcW w:w="2561" w:type="dxa"/>
            <w:vMerge/>
            <w:vAlign w:val="center"/>
          </w:tcPr>
          <w:p w:rsidR="00FF7113" w:rsidRPr="00A62C1C" w:rsidRDefault="00FF7113" w:rsidP="00FF7113">
            <w:pPr>
              <w:spacing w:line="180" w:lineRule="atLeast"/>
              <w:rPr>
                <w:rFonts w:ascii="MinionPro-Regular" w:hAnsi="MinionPro-Regular"/>
                <w:b/>
                <w:lang w:val="es-ES_tradnl"/>
              </w:rPr>
            </w:pPr>
          </w:p>
        </w:tc>
        <w:tc>
          <w:tcPr>
            <w:tcW w:w="2085" w:type="dxa"/>
            <w:vMerge/>
            <w:vAlign w:val="center"/>
          </w:tcPr>
          <w:p w:rsidR="00FF7113" w:rsidRPr="00A62C1C" w:rsidRDefault="00FF7113" w:rsidP="00FF7113">
            <w:pPr>
              <w:spacing w:line="180" w:lineRule="atLeast"/>
              <w:rPr>
                <w:rFonts w:ascii="MinionPro-Regular" w:hAnsi="MinionPro-Regular"/>
                <w:lang w:val="es-ES_tradnl"/>
              </w:rPr>
            </w:pPr>
          </w:p>
        </w:tc>
        <w:tc>
          <w:tcPr>
            <w:tcW w:w="1946" w:type="dxa"/>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Impuestos indirectos (IVA)</w:t>
            </w:r>
          </w:p>
        </w:tc>
        <w:tc>
          <w:tcPr>
            <w:tcW w:w="1969" w:type="dxa"/>
            <w:vAlign w:val="center"/>
          </w:tcPr>
          <w:p w:rsidR="00FF7113" w:rsidRPr="00A62C1C" w:rsidRDefault="00FF7113" w:rsidP="00FF7113">
            <w:pPr>
              <w:spacing w:line="180" w:lineRule="atLeast"/>
              <w:jc w:val="center"/>
              <w:rPr>
                <w:rFonts w:ascii="MinionPro-Regular" w:hAnsi="MinionPro-Regular"/>
                <w:lang w:val="es-ES_tradnl"/>
              </w:rPr>
            </w:pPr>
            <w:r w:rsidRPr="00A62C1C">
              <w:rPr>
                <w:rFonts w:ascii="MinionPro-Regular" w:hAnsi="MinionPro-Regular"/>
                <w:lang w:val="es-ES_tradnl"/>
              </w:rPr>
              <w:t>239.555.474</w:t>
            </w:r>
          </w:p>
        </w:tc>
      </w:tr>
      <w:tr w:rsidR="00FF7113" w:rsidRPr="005158FF" w:rsidTr="00FF7113">
        <w:trPr>
          <w:trHeight w:val="164"/>
        </w:trPr>
        <w:tc>
          <w:tcPr>
            <w:tcW w:w="2561" w:type="dxa"/>
            <w:vMerge/>
            <w:tcBorders>
              <w:bottom w:val="nil"/>
            </w:tcBorders>
            <w:vAlign w:val="center"/>
          </w:tcPr>
          <w:p w:rsidR="00FF7113" w:rsidRPr="00A62C1C" w:rsidRDefault="00FF7113" w:rsidP="00FF7113">
            <w:pPr>
              <w:spacing w:line="180" w:lineRule="atLeast"/>
              <w:rPr>
                <w:rFonts w:ascii="MinionPro-Regular" w:hAnsi="MinionPro-Regular"/>
                <w:lang w:val="es-ES_tradnl"/>
              </w:rPr>
            </w:pPr>
          </w:p>
        </w:tc>
        <w:tc>
          <w:tcPr>
            <w:tcW w:w="2085" w:type="dxa"/>
            <w:vMerge/>
            <w:tcBorders>
              <w:bottom w:val="nil"/>
            </w:tcBorders>
            <w:vAlign w:val="center"/>
          </w:tcPr>
          <w:p w:rsidR="00FF7113" w:rsidRPr="00A62C1C" w:rsidRDefault="00FF7113" w:rsidP="00FF7113">
            <w:pPr>
              <w:spacing w:line="180" w:lineRule="atLeast"/>
              <w:rPr>
                <w:rFonts w:ascii="MinionPro-Regular" w:hAnsi="MinionPro-Regular"/>
                <w:lang w:val="es-ES_tradnl"/>
              </w:rPr>
            </w:pPr>
          </w:p>
        </w:tc>
        <w:tc>
          <w:tcPr>
            <w:tcW w:w="1946" w:type="dxa"/>
            <w:tcBorders>
              <w:bottom w:val="nil"/>
            </w:tcBorders>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Impuesto de sociedades</w:t>
            </w:r>
          </w:p>
        </w:tc>
        <w:tc>
          <w:tcPr>
            <w:tcW w:w="1969" w:type="dxa"/>
            <w:tcBorders>
              <w:bottom w:val="nil"/>
            </w:tcBorders>
            <w:vAlign w:val="center"/>
          </w:tcPr>
          <w:p w:rsidR="00FF7113" w:rsidRPr="00A62C1C" w:rsidRDefault="00FF7113" w:rsidP="00FF7113">
            <w:pPr>
              <w:spacing w:line="180" w:lineRule="atLeast"/>
              <w:jc w:val="center"/>
              <w:rPr>
                <w:rFonts w:ascii="MinionPro-Regular" w:hAnsi="MinionPro-Regular"/>
                <w:lang w:val="es-ES_tradnl"/>
              </w:rPr>
            </w:pPr>
            <w:r w:rsidRPr="00A62C1C">
              <w:rPr>
                <w:rFonts w:ascii="MinionPro-Regular" w:hAnsi="MinionPro-Regular"/>
                <w:lang w:val="es-ES_tradnl"/>
              </w:rPr>
              <w:t>40.700.000</w:t>
            </w:r>
          </w:p>
        </w:tc>
      </w:tr>
      <w:tr w:rsidR="00FF7113" w:rsidRPr="005158FF" w:rsidTr="00FF7113">
        <w:trPr>
          <w:trHeight w:val="307"/>
        </w:trPr>
        <w:tc>
          <w:tcPr>
            <w:tcW w:w="8561" w:type="dxa"/>
            <w:gridSpan w:val="4"/>
            <w:tcBorders>
              <w:bottom w:val="single" w:sz="4" w:space="0" w:color="auto"/>
            </w:tcBorders>
            <w:vAlign w:val="center"/>
          </w:tcPr>
          <w:p w:rsidR="00FF7113" w:rsidRPr="00A62C1C" w:rsidRDefault="00FF7113" w:rsidP="00FF7113">
            <w:pPr>
              <w:spacing w:line="180" w:lineRule="atLeast"/>
              <w:jc w:val="center"/>
              <w:rPr>
                <w:rFonts w:ascii="MinionPro-Regular" w:hAnsi="MinionPro-Regular"/>
                <w:bCs/>
                <w:lang w:val="es-ES_tradnl"/>
              </w:rPr>
            </w:pPr>
            <w:r w:rsidRPr="00A62C1C">
              <w:rPr>
                <w:rFonts w:ascii="MinionPro-Regular" w:hAnsi="MinionPro-Regular"/>
                <w:b/>
                <w:lang w:val="es-ES_tradnl"/>
              </w:rPr>
              <w:t>Sin salida de efectivo</w:t>
            </w:r>
          </w:p>
        </w:tc>
      </w:tr>
      <w:tr w:rsidR="00FF7113" w:rsidRPr="005158FF" w:rsidTr="00FF7113">
        <w:tblPrEx>
          <w:tblBorders>
            <w:bottom w:val="none" w:sz="0" w:space="0" w:color="auto"/>
          </w:tblBorders>
          <w:tblCellMar>
            <w:top w:w="0" w:type="dxa"/>
            <w:left w:w="108" w:type="dxa"/>
            <w:bottom w:w="0" w:type="dxa"/>
            <w:right w:w="108" w:type="dxa"/>
          </w:tblCellMar>
        </w:tblPrEx>
        <w:trPr>
          <w:trHeight w:val="290"/>
        </w:trPr>
        <w:tc>
          <w:tcPr>
            <w:tcW w:w="2561" w:type="dxa"/>
            <w:vMerge w:val="restart"/>
            <w:vAlign w:val="center"/>
          </w:tcPr>
          <w:p w:rsidR="00FF7113" w:rsidRPr="00D2049F" w:rsidRDefault="00FF7113" w:rsidP="00FF7113">
            <w:pPr>
              <w:spacing w:line="180" w:lineRule="atLeast"/>
              <w:rPr>
                <w:rFonts w:ascii="MinionPro-Regular" w:hAnsi="MinionPro-Regular"/>
                <w:lang w:val="es-ES_tradnl"/>
              </w:rPr>
            </w:pPr>
            <w:r w:rsidRPr="00D2049F">
              <w:rPr>
                <w:rFonts w:ascii="MinionPro-Regular" w:hAnsi="MinionPro-Regular"/>
                <w:lang w:val="es-ES_tradnl"/>
              </w:rPr>
              <w:t>Bonificación 100% cuota empresarial de la seguridad social</w:t>
            </w:r>
          </w:p>
        </w:tc>
        <w:tc>
          <w:tcPr>
            <w:tcW w:w="2085" w:type="dxa"/>
            <w:vMerge w:val="restart"/>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204.815.193</w:t>
            </w:r>
          </w:p>
        </w:tc>
        <w:tc>
          <w:tcPr>
            <w:tcW w:w="1946" w:type="dxa"/>
          </w:tcPr>
          <w:p w:rsidR="00FF7113" w:rsidRPr="00A62C1C" w:rsidRDefault="00FF7113" w:rsidP="00FF7113">
            <w:pPr>
              <w:spacing w:line="180" w:lineRule="atLeast"/>
              <w:jc w:val="both"/>
              <w:rPr>
                <w:rFonts w:ascii="MinionPro-Regular" w:hAnsi="MinionPro-Regular"/>
                <w:lang w:val="es-ES_tradnl"/>
              </w:rPr>
            </w:pPr>
            <w:r w:rsidRPr="00A62C1C">
              <w:rPr>
                <w:rFonts w:ascii="MinionPro-Regular" w:hAnsi="MinionPro-Regular"/>
                <w:lang w:val="es-ES_tradnl"/>
              </w:rPr>
              <w:t>Ayudas LISMI</w:t>
            </w:r>
          </w:p>
        </w:tc>
        <w:tc>
          <w:tcPr>
            <w:tcW w:w="1969" w:type="dxa"/>
          </w:tcPr>
          <w:p w:rsidR="00FF7113" w:rsidRPr="008D2A85" w:rsidRDefault="00FF7113" w:rsidP="00FF7113">
            <w:pPr>
              <w:spacing w:line="180" w:lineRule="atLeast"/>
              <w:jc w:val="center"/>
              <w:rPr>
                <w:rFonts w:ascii="MinionPro-Regular" w:hAnsi="MinionPro-Regular"/>
                <w:lang w:val="es-ES_tradnl"/>
              </w:rPr>
            </w:pPr>
            <w:r w:rsidRPr="008D2A85">
              <w:rPr>
                <w:rFonts w:ascii="MinionPro-Regular" w:hAnsi="MinionPro-Regular"/>
                <w:lang w:val="es-ES_tradnl"/>
              </w:rPr>
              <w:t>1.778.73</w:t>
            </w:r>
            <w:r>
              <w:rPr>
                <w:rFonts w:ascii="MinionPro-Regular" w:hAnsi="MinionPro-Regular"/>
                <w:lang w:val="es-ES_tradnl"/>
              </w:rPr>
              <w:t>8</w:t>
            </w:r>
          </w:p>
        </w:tc>
      </w:tr>
      <w:tr w:rsidR="00FF7113" w:rsidRPr="005158FF" w:rsidTr="00FF7113">
        <w:trPr>
          <w:trHeight w:val="164"/>
        </w:trPr>
        <w:tc>
          <w:tcPr>
            <w:tcW w:w="2561" w:type="dxa"/>
            <w:vMerge/>
            <w:vAlign w:val="center"/>
          </w:tcPr>
          <w:p w:rsidR="00FF7113" w:rsidRPr="00A62C1C" w:rsidRDefault="00FF7113" w:rsidP="00FF7113">
            <w:pPr>
              <w:spacing w:line="180" w:lineRule="atLeast"/>
              <w:rPr>
                <w:rFonts w:ascii="MinionPro-Regular" w:hAnsi="MinionPro-Regular"/>
                <w:lang w:val="es-ES_tradnl"/>
              </w:rPr>
            </w:pPr>
          </w:p>
        </w:tc>
        <w:tc>
          <w:tcPr>
            <w:tcW w:w="2085" w:type="dxa"/>
            <w:vMerge/>
            <w:vAlign w:val="center"/>
          </w:tcPr>
          <w:p w:rsidR="00FF7113" w:rsidRPr="00A62C1C" w:rsidRDefault="00FF7113" w:rsidP="00FF7113">
            <w:pPr>
              <w:spacing w:line="180" w:lineRule="atLeast"/>
              <w:rPr>
                <w:rFonts w:ascii="MinionPro-Regular" w:hAnsi="MinionPro-Regular"/>
                <w:lang w:val="es-ES_tradnl"/>
              </w:rPr>
            </w:pPr>
          </w:p>
        </w:tc>
        <w:tc>
          <w:tcPr>
            <w:tcW w:w="1946" w:type="dxa"/>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Pensiones no contributivas</w:t>
            </w:r>
          </w:p>
        </w:tc>
        <w:tc>
          <w:tcPr>
            <w:tcW w:w="1969" w:type="dxa"/>
            <w:vAlign w:val="center"/>
          </w:tcPr>
          <w:p w:rsidR="00FF7113" w:rsidRPr="008D2A85" w:rsidRDefault="00FF7113" w:rsidP="00FF7113">
            <w:pPr>
              <w:spacing w:line="180" w:lineRule="atLeast"/>
              <w:jc w:val="center"/>
              <w:rPr>
                <w:rFonts w:ascii="MinionPro-Regular" w:hAnsi="MinionPro-Regular"/>
                <w:lang w:val="es-ES_tradnl"/>
              </w:rPr>
            </w:pPr>
            <w:r w:rsidRPr="008D2A85">
              <w:rPr>
                <w:rFonts w:ascii="MinionPro-Regular" w:hAnsi="MinionPro-Regular"/>
                <w:lang w:val="es-ES_tradnl"/>
              </w:rPr>
              <w:t>22.730.090</w:t>
            </w:r>
          </w:p>
        </w:tc>
      </w:tr>
      <w:tr w:rsidR="00FF7113" w:rsidRPr="005158FF" w:rsidTr="00FF7113">
        <w:trPr>
          <w:trHeight w:val="164"/>
        </w:trPr>
        <w:tc>
          <w:tcPr>
            <w:tcW w:w="2561" w:type="dxa"/>
            <w:vMerge/>
            <w:vAlign w:val="center"/>
          </w:tcPr>
          <w:p w:rsidR="00FF7113" w:rsidRPr="00A62C1C" w:rsidRDefault="00FF7113" w:rsidP="00FF7113">
            <w:pPr>
              <w:spacing w:line="180" w:lineRule="atLeast"/>
              <w:rPr>
                <w:rFonts w:ascii="MinionPro-Regular" w:hAnsi="MinionPro-Regular"/>
                <w:b/>
                <w:lang w:val="es-ES_tradnl"/>
              </w:rPr>
            </w:pPr>
          </w:p>
        </w:tc>
        <w:tc>
          <w:tcPr>
            <w:tcW w:w="2085" w:type="dxa"/>
            <w:vMerge/>
            <w:vAlign w:val="center"/>
          </w:tcPr>
          <w:p w:rsidR="00FF7113" w:rsidRPr="00A62C1C" w:rsidRDefault="00FF7113" w:rsidP="00FF7113">
            <w:pPr>
              <w:spacing w:line="180" w:lineRule="atLeast"/>
              <w:rPr>
                <w:rFonts w:ascii="MinionPro-Regular" w:hAnsi="MinionPro-Regular"/>
                <w:lang w:val="es-ES_tradnl"/>
              </w:rPr>
            </w:pPr>
          </w:p>
        </w:tc>
        <w:tc>
          <w:tcPr>
            <w:tcW w:w="1946" w:type="dxa"/>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Pensiones contributivas</w:t>
            </w:r>
          </w:p>
        </w:tc>
        <w:tc>
          <w:tcPr>
            <w:tcW w:w="1969" w:type="dxa"/>
            <w:vAlign w:val="center"/>
          </w:tcPr>
          <w:p w:rsidR="00FF7113" w:rsidRPr="008D2A85" w:rsidRDefault="00FF7113" w:rsidP="00FF7113">
            <w:pPr>
              <w:jc w:val="center"/>
              <w:rPr>
                <w:rFonts w:ascii="MinionPro-Regular" w:hAnsi="MinionPro-Regular"/>
                <w:lang w:val="es-ES_tradnl"/>
              </w:rPr>
            </w:pPr>
            <w:r>
              <w:rPr>
                <w:rFonts w:ascii="MinionPro-Regular" w:hAnsi="MinionPro-Regular"/>
                <w:lang w:val="es-ES_tradnl"/>
              </w:rPr>
              <w:t>43.41</w:t>
            </w:r>
            <w:r w:rsidRPr="008D2A85">
              <w:rPr>
                <w:rFonts w:ascii="MinionPro-Regular" w:hAnsi="MinionPro-Regular"/>
                <w:lang w:val="es-ES_tradnl"/>
              </w:rPr>
              <w:t>7</w:t>
            </w:r>
            <w:r>
              <w:rPr>
                <w:rFonts w:ascii="MinionPro-Regular" w:hAnsi="MinionPro-Regular"/>
                <w:lang w:val="es-ES_tradnl"/>
              </w:rPr>
              <w:t>.067</w:t>
            </w:r>
          </w:p>
        </w:tc>
      </w:tr>
      <w:tr w:rsidR="00FF7113" w:rsidRPr="005158FF" w:rsidTr="00FF7113">
        <w:trPr>
          <w:trHeight w:val="164"/>
        </w:trPr>
        <w:tc>
          <w:tcPr>
            <w:tcW w:w="2561" w:type="dxa"/>
            <w:vMerge/>
            <w:vAlign w:val="center"/>
          </w:tcPr>
          <w:p w:rsidR="00FF7113" w:rsidRPr="00A62C1C" w:rsidRDefault="00FF7113" w:rsidP="00FF7113">
            <w:pPr>
              <w:spacing w:line="180" w:lineRule="atLeast"/>
              <w:rPr>
                <w:rFonts w:ascii="MinionPro-Regular" w:hAnsi="MinionPro-Regular"/>
                <w:lang w:val="es-ES_tradnl"/>
              </w:rPr>
            </w:pPr>
          </w:p>
        </w:tc>
        <w:tc>
          <w:tcPr>
            <w:tcW w:w="2085" w:type="dxa"/>
            <w:vMerge/>
            <w:vAlign w:val="center"/>
          </w:tcPr>
          <w:p w:rsidR="00FF7113" w:rsidRPr="00A62C1C" w:rsidRDefault="00FF7113" w:rsidP="00FF7113">
            <w:pPr>
              <w:spacing w:line="180" w:lineRule="atLeast"/>
              <w:rPr>
                <w:rFonts w:ascii="MinionPro-Regular" w:hAnsi="MinionPro-Regular"/>
                <w:lang w:val="es-ES_tradnl"/>
              </w:rPr>
            </w:pPr>
          </w:p>
        </w:tc>
        <w:tc>
          <w:tcPr>
            <w:tcW w:w="1946" w:type="dxa"/>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Ahorro en gasto sanitario</w:t>
            </w:r>
          </w:p>
        </w:tc>
        <w:tc>
          <w:tcPr>
            <w:tcW w:w="1969" w:type="dxa"/>
            <w:vAlign w:val="center"/>
          </w:tcPr>
          <w:p w:rsidR="00FF7113" w:rsidRPr="00A62C1C" w:rsidRDefault="00FF7113" w:rsidP="00FF7113">
            <w:pPr>
              <w:spacing w:line="180" w:lineRule="atLeast"/>
              <w:jc w:val="center"/>
              <w:rPr>
                <w:rFonts w:ascii="MinionPro-Regular" w:hAnsi="MinionPro-Regular"/>
                <w:lang w:val="es-ES_tradnl"/>
              </w:rPr>
            </w:pPr>
            <w:r>
              <w:rPr>
                <w:rFonts w:ascii="MinionPro-Regular" w:hAnsi="MinionPro-Regular"/>
                <w:lang w:val="es-ES_tradnl"/>
              </w:rPr>
              <w:t>97.227</w:t>
            </w:r>
            <w:r w:rsidRPr="00A62C1C">
              <w:rPr>
                <w:rFonts w:ascii="MinionPro-Regular" w:hAnsi="MinionPro-Regular"/>
                <w:lang w:val="es-ES_tradnl"/>
              </w:rPr>
              <w:t>.</w:t>
            </w:r>
            <w:r>
              <w:rPr>
                <w:rFonts w:ascii="MinionPro-Regular" w:hAnsi="MinionPro-Regular"/>
                <w:lang w:val="es-ES_tradnl"/>
              </w:rPr>
              <w:t>989</w:t>
            </w:r>
          </w:p>
        </w:tc>
      </w:tr>
      <w:tr w:rsidR="00FF7113" w:rsidRPr="005158FF" w:rsidTr="00FF7113">
        <w:trPr>
          <w:trHeight w:val="164"/>
        </w:trPr>
        <w:tc>
          <w:tcPr>
            <w:tcW w:w="2561" w:type="dxa"/>
            <w:vMerge/>
            <w:vAlign w:val="center"/>
          </w:tcPr>
          <w:p w:rsidR="00FF7113" w:rsidRPr="00A62C1C" w:rsidRDefault="00FF7113" w:rsidP="00FF7113">
            <w:pPr>
              <w:spacing w:line="180" w:lineRule="atLeast"/>
              <w:rPr>
                <w:rFonts w:ascii="MinionPro-Regular" w:hAnsi="MinionPro-Regular"/>
                <w:lang w:val="es-ES_tradnl"/>
              </w:rPr>
            </w:pPr>
          </w:p>
        </w:tc>
        <w:tc>
          <w:tcPr>
            <w:tcW w:w="2085" w:type="dxa"/>
            <w:vMerge/>
            <w:vAlign w:val="center"/>
          </w:tcPr>
          <w:p w:rsidR="00FF7113" w:rsidRPr="00A62C1C" w:rsidRDefault="00FF7113" w:rsidP="00FF7113">
            <w:pPr>
              <w:spacing w:line="180" w:lineRule="atLeast"/>
              <w:rPr>
                <w:rFonts w:ascii="MinionPro-Regular" w:hAnsi="MinionPro-Regular"/>
                <w:lang w:val="es-ES_tradnl"/>
              </w:rPr>
            </w:pPr>
          </w:p>
        </w:tc>
        <w:tc>
          <w:tcPr>
            <w:tcW w:w="1946" w:type="dxa"/>
            <w:vAlign w:val="center"/>
          </w:tcPr>
          <w:p w:rsidR="00FF7113" w:rsidRPr="00A62C1C" w:rsidRDefault="00FF7113" w:rsidP="00FF7113">
            <w:pPr>
              <w:spacing w:line="180" w:lineRule="atLeast"/>
              <w:rPr>
                <w:rFonts w:ascii="MinionPro-Regular" w:hAnsi="MinionPro-Regular"/>
                <w:lang w:val="es-ES_tradnl"/>
              </w:rPr>
            </w:pPr>
            <w:r>
              <w:rPr>
                <w:rFonts w:ascii="MinionPro-Regular" w:hAnsi="MinionPro-Regular"/>
                <w:lang w:val="es-ES_tradnl"/>
              </w:rPr>
              <w:t>Ahorro en plazas ocupacionales</w:t>
            </w:r>
          </w:p>
        </w:tc>
        <w:tc>
          <w:tcPr>
            <w:tcW w:w="1969" w:type="dxa"/>
            <w:vAlign w:val="center"/>
          </w:tcPr>
          <w:p w:rsidR="00FF7113" w:rsidRPr="00A62C1C" w:rsidRDefault="00FF7113" w:rsidP="00FF7113">
            <w:pPr>
              <w:spacing w:line="180" w:lineRule="atLeast"/>
              <w:jc w:val="center"/>
              <w:rPr>
                <w:rFonts w:ascii="MinionPro-Regular" w:hAnsi="MinionPro-Regular"/>
                <w:lang w:val="es-ES_tradnl"/>
              </w:rPr>
            </w:pPr>
            <w:r>
              <w:rPr>
                <w:rFonts w:ascii="MinionPro-Regular" w:hAnsi="MinionPro-Regular"/>
                <w:lang w:val="es-ES_tradnl"/>
              </w:rPr>
              <w:t>135.389.131</w:t>
            </w:r>
          </w:p>
        </w:tc>
      </w:tr>
      <w:tr w:rsidR="00FF7113" w:rsidRPr="005158FF" w:rsidTr="00FF7113">
        <w:trPr>
          <w:trHeight w:val="164"/>
        </w:trPr>
        <w:tc>
          <w:tcPr>
            <w:tcW w:w="2561" w:type="dxa"/>
            <w:tcBorders>
              <w:bottom w:val="single" w:sz="12" w:space="0" w:color="409DAD"/>
            </w:tcBorders>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Total</w:t>
            </w:r>
          </w:p>
        </w:tc>
        <w:tc>
          <w:tcPr>
            <w:tcW w:w="2085" w:type="dxa"/>
            <w:tcBorders>
              <w:bottom w:val="single" w:sz="12" w:space="0" w:color="409DAD"/>
            </w:tcBorders>
            <w:vAlign w:val="center"/>
          </w:tcPr>
          <w:p w:rsidR="00FF7113" w:rsidRPr="00A62C1C" w:rsidRDefault="00FF7113" w:rsidP="00FF7113">
            <w:pPr>
              <w:spacing w:line="180" w:lineRule="atLeast"/>
              <w:jc w:val="center"/>
              <w:rPr>
                <w:rFonts w:ascii="MinionPro-Regular" w:hAnsi="MinionPro-Regular"/>
                <w:b/>
                <w:lang w:val="es-ES_tradnl"/>
              </w:rPr>
            </w:pPr>
            <w:r w:rsidRPr="00A62C1C">
              <w:rPr>
                <w:rFonts w:ascii="MinionPro-Regular" w:hAnsi="MinionPro-Regular"/>
                <w:b/>
                <w:lang w:val="es-ES_tradnl"/>
              </w:rPr>
              <w:t>528.329.213</w:t>
            </w:r>
          </w:p>
        </w:tc>
        <w:tc>
          <w:tcPr>
            <w:tcW w:w="1946" w:type="dxa"/>
            <w:tcBorders>
              <w:bottom w:val="single" w:sz="12" w:space="0" w:color="409DAD"/>
            </w:tcBorders>
            <w:vAlign w:val="center"/>
          </w:tcPr>
          <w:p w:rsidR="00FF7113" w:rsidRPr="00A62C1C" w:rsidRDefault="00FF7113" w:rsidP="00FF7113">
            <w:pPr>
              <w:spacing w:line="180" w:lineRule="atLeast"/>
              <w:rPr>
                <w:rFonts w:ascii="MinionPro-Regular" w:hAnsi="MinionPro-Regular"/>
                <w:lang w:val="es-ES_tradnl"/>
              </w:rPr>
            </w:pPr>
            <w:r w:rsidRPr="00A62C1C">
              <w:rPr>
                <w:rFonts w:ascii="MinionPro-Regular" w:hAnsi="MinionPro-Regular"/>
                <w:lang w:val="es-ES_tradnl"/>
              </w:rPr>
              <w:t>Todos los conceptos de retorno</w:t>
            </w:r>
          </w:p>
        </w:tc>
        <w:tc>
          <w:tcPr>
            <w:tcW w:w="1969" w:type="dxa"/>
            <w:tcBorders>
              <w:bottom w:val="single" w:sz="12" w:space="0" w:color="409DAD"/>
            </w:tcBorders>
            <w:vAlign w:val="center"/>
          </w:tcPr>
          <w:p w:rsidR="00FF7113" w:rsidRPr="00D2049F" w:rsidRDefault="00FF7113" w:rsidP="00FF7113">
            <w:pPr>
              <w:jc w:val="center"/>
              <w:rPr>
                <w:rFonts w:ascii="MinionPro-Regular" w:hAnsi="MinionPro-Regular"/>
                <w:b/>
                <w:lang w:val="es-ES_tradnl"/>
              </w:rPr>
            </w:pPr>
            <w:r>
              <w:rPr>
                <w:rFonts w:ascii="MinionPro-Regular" w:hAnsi="MinionPro-Regular"/>
                <w:b/>
                <w:lang w:val="es-ES_tradnl"/>
              </w:rPr>
              <w:t>760</w:t>
            </w:r>
            <w:r w:rsidRPr="00D2049F">
              <w:rPr>
                <w:rFonts w:ascii="MinionPro-Regular" w:hAnsi="MinionPro-Regular"/>
                <w:b/>
                <w:lang w:val="es-ES_tradnl"/>
              </w:rPr>
              <w:t>.</w:t>
            </w:r>
            <w:r>
              <w:rPr>
                <w:rFonts w:ascii="MinionPro-Regular" w:hAnsi="MinionPro-Regular"/>
                <w:b/>
                <w:lang w:val="es-ES_tradnl"/>
              </w:rPr>
              <w:t>130</w:t>
            </w:r>
            <w:r w:rsidRPr="00D2049F">
              <w:rPr>
                <w:rFonts w:ascii="MinionPro-Regular" w:hAnsi="MinionPro-Regular"/>
                <w:b/>
                <w:lang w:val="es-ES_tradnl"/>
              </w:rPr>
              <w:t>.</w:t>
            </w:r>
            <w:r>
              <w:rPr>
                <w:rFonts w:ascii="MinionPro-Regular" w:hAnsi="MinionPro-Regular"/>
                <w:b/>
                <w:lang w:val="es-ES_tradnl"/>
              </w:rPr>
              <w:t>661</w:t>
            </w:r>
          </w:p>
        </w:tc>
      </w:tr>
    </w:tbl>
    <w:p w:rsidR="00FF7113" w:rsidRPr="00720BE5" w:rsidRDefault="00720BE5" w:rsidP="00FF7113">
      <w:pPr>
        <w:autoSpaceDE w:val="0"/>
        <w:autoSpaceDN w:val="0"/>
        <w:spacing w:line="360" w:lineRule="auto"/>
        <w:jc w:val="both"/>
        <w:rPr>
          <w:rFonts w:ascii="MinionPro-Regular" w:hAnsi="MinionPro-Regular"/>
          <w:sz w:val="18"/>
          <w:szCs w:val="18"/>
          <w:lang w:val="es-ES_tradnl"/>
        </w:rPr>
      </w:pPr>
      <w:r w:rsidRPr="00720BE5">
        <w:rPr>
          <w:rFonts w:ascii="MinionPro-Regular" w:hAnsi="MinionPro-Regular"/>
          <w:sz w:val="18"/>
          <w:szCs w:val="18"/>
          <w:lang w:val="es-ES_tradnl"/>
        </w:rPr>
        <w:t>Datos de 2011-2012</w:t>
      </w:r>
    </w:p>
    <w:p w:rsidR="00FF7113" w:rsidRDefault="00FF7113" w:rsidP="00FF7113">
      <w:pPr>
        <w:autoSpaceDE w:val="0"/>
        <w:autoSpaceDN w:val="0"/>
        <w:spacing w:line="360" w:lineRule="auto"/>
        <w:jc w:val="both"/>
        <w:rPr>
          <w:rFonts w:ascii="MinionPro-Regular" w:hAnsi="MinionPro-Regular"/>
          <w:sz w:val="24"/>
          <w:szCs w:val="24"/>
          <w:lang w:val="es-ES_tradnl"/>
        </w:rPr>
      </w:pPr>
    </w:p>
    <w:p w:rsidR="00FF7113" w:rsidRDefault="00FF7113" w:rsidP="00FF7113">
      <w:pPr>
        <w:pBdr>
          <w:top w:val="single" w:sz="4" w:space="1" w:color="auto"/>
        </w:pBdr>
        <w:autoSpaceDE w:val="0"/>
        <w:autoSpaceDN w:val="0"/>
        <w:spacing w:line="360" w:lineRule="auto"/>
        <w:jc w:val="both"/>
        <w:rPr>
          <w:rFonts w:ascii="MinionPro-Regular" w:hAnsi="MinionPro-Regular"/>
          <w:sz w:val="20"/>
        </w:rPr>
      </w:pPr>
      <w:r>
        <w:rPr>
          <w:rFonts w:ascii="MinionPro-Regular" w:hAnsi="MinionPro-Regular"/>
          <w:sz w:val="20"/>
        </w:rPr>
        <w:t>Resumen</w:t>
      </w:r>
      <w:r w:rsidRPr="005C118C">
        <w:rPr>
          <w:rFonts w:ascii="MinionPro-Regular" w:hAnsi="MinionPro-Regular"/>
          <w:sz w:val="20"/>
        </w:rPr>
        <w:t xml:space="preserve"> del análisis de las ayudas de la administración pública y los retornos de los centros especiales de empleo</w:t>
      </w:r>
      <w:r w:rsidR="00262010">
        <w:rPr>
          <w:rFonts w:ascii="MinionPro-Regular" w:hAnsi="MinionPro-Regular"/>
          <w:sz w:val="20"/>
        </w:rPr>
        <w:t xml:space="preserve"> de toda España</w:t>
      </w:r>
      <w:r w:rsidRPr="005C118C">
        <w:rPr>
          <w:rFonts w:ascii="MinionPro-Regular" w:hAnsi="MinionPro-Regular"/>
          <w:sz w:val="20"/>
        </w:rPr>
        <w:t xml:space="preserve"> según los distintos conceptos</w:t>
      </w:r>
      <w:r>
        <w:rPr>
          <w:rFonts w:ascii="MinionPro-Regular" w:hAnsi="MinionPro-Regular"/>
          <w:sz w:val="20"/>
        </w:rPr>
        <w:t>.</w:t>
      </w:r>
    </w:p>
    <w:p w:rsidR="00FF7113" w:rsidRDefault="00FF7113" w:rsidP="00FF7113">
      <w:pPr>
        <w:pBdr>
          <w:top w:val="single" w:sz="4" w:space="1" w:color="auto"/>
        </w:pBdr>
        <w:autoSpaceDE w:val="0"/>
        <w:autoSpaceDN w:val="0"/>
        <w:spacing w:line="360" w:lineRule="auto"/>
        <w:jc w:val="both"/>
        <w:rPr>
          <w:rFonts w:ascii="MinionPro-Regular" w:hAnsi="MinionPro-Regular"/>
          <w:sz w:val="20"/>
        </w:rPr>
      </w:pPr>
    </w:p>
    <w:p w:rsidR="00FF7113" w:rsidRPr="005D1A1F" w:rsidRDefault="00FF7113" w:rsidP="00842404">
      <w:pPr>
        <w:pBdr>
          <w:top w:val="single" w:sz="4" w:space="1" w:color="auto"/>
        </w:pBdr>
        <w:autoSpaceDE w:val="0"/>
        <w:autoSpaceDN w:val="0"/>
        <w:spacing w:line="360" w:lineRule="auto"/>
        <w:ind w:left="-567"/>
        <w:jc w:val="center"/>
        <w:rPr>
          <w:rFonts w:ascii="MinionPro-Regular" w:hAnsi="MinionPro-Regular"/>
          <w:sz w:val="20"/>
        </w:rPr>
      </w:pPr>
      <w:r w:rsidRPr="00900F7C">
        <w:rPr>
          <w:noProof/>
          <w:lang w:eastAsia="es-ES"/>
        </w:rPr>
        <w:lastRenderedPageBreak/>
        <w:drawing>
          <wp:inline distT="0" distB="0" distL="0" distR="0">
            <wp:extent cx="6209529" cy="280987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221803" cy="2815429"/>
                    </a:xfrm>
                    <a:prstGeom prst="rect">
                      <a:avLst/>
                    </a:prstGeom>
                    <a:noFill/>
                    <a:ln w="9525">
                      <a:noFill/>
                      <a:miter lim="800000"/>
                      <a:headEnd/>
                      <a:tailEnd/>
                    </a:ln>
                  </pic:spPr>
                </pic:pic>
              </a:graphicData>
            </a:graphic>
          </wp:inline>
        </w:drawing>
      </w:r>
    </w:p>
    <w:p w:rsidR="00FF7113" w:rsidRDefault="00FF7113" w:rsidP="00FF7113">
      <w:pPr>
        <w:pBdr>
          <w:bottom w:val="single" w:sz="4" w:space="1" w:color="auto"/>
        </w:pBdr>
        <w:autoSpaceDE w:val="0"/>
        <w:autoSpaceDN w:val="0"/>
        <w:spacing w:line="360" w:lineRule="auto"/>
        <w:jc w:val="both"/>
        <w:rPr>
          <w:rFonts w:ascii="MinionPro-Regular" w:hAnsi="MinionPro-Regular"/>
          <w:sz w:val="20"/>
        </w:rPr>
      </w:pPr>
      <w:r w:rsidRPr="005C118C">
        <w:rPr>
          <w:rFonts w:ascii="MinionPro-Regular" w:hAnsi="MinionPro-Regular"/>
          <w:sz w:val="20"/>
        </w:rPr>
        <w:t xml:space="preserve">Fuente: </w:t>
      </w:r>
      <w:r>
        <w:rPr>
          <w:rFonts w:ascii="MinionPro-Regular" w:hAnsi="MinionPro-Regular"/>
          <w:sz w:val="20"/>
        </w:rPr>
        <w:t>E</w:t>
      </w:r>
      <w:r w:rsidRPr="005C118C">
        <w:rPr>
          <w:rFonts w:ascii="MinionPro-Regular" w:hAnsi="MinionPro-Regular"/>
          <w:sz w:val="20"/>
        </w:rPr>
        <w:t>laboración propia</w:t>
      </w:r>
    </w:p>
    <w:p w:rsidR="00FF7113" w:rsidRPr="00A54B61" w:rsidRDefault="007751C0" w:rsidP="00FF7113">
      <w:pPr>
        <w:pBdr>
          <w:bottom w:val="single" w:sz="4" w:space="1" w:color="auto"/>
        </w:pBdr>
        <w:autoSpaceDE w:val="0"/>
        <w:autoSpaceDN w:val="0"/>
        <w:spacing w:line="360" w:lineRule="auto"/>
        <w:jc w:val="both"/>
        <w:rPr>
          <w:rFonts w:ascii="MinionPro-Regular" w:hAnsi="MinionPro-Regular"/>
          <w:sz w:val="20"/>
          <w:lang w:val="es-ES_tradnl"/>
        </w:rPr>
      </w:pPr>
      <w:r>
        <w:rPr>
          <w:rFonts w:ascii="MinionPro-Regular" w:hAnsi="MinionPro-Regular"/>
          <w:sz w:val="20"/>
          <w:lang w:val="es-ES_tradnl"/>
        </w:rPr>
        <w:t xml:space="preserve">Nota </w:t>
      </w:r>
      <w:r w:rsidR="00FF7113" w:rsidRPr="001137F5">
        <w:rPr>
          <w:rFonts w:ascii="MinionPro-Regular" w:hAnsi="MinionPro-Regular"/>
          <w:sz w:val="20"/>
          <w:lang w:val="es-ES_tradnl"/>
        </w:rPr>
        <w:t>explicativa de la gráfica:</w:t>
      </w:r>
      <w:r w:rsidR="00FF7113">
        <w:rPr>
          <w:rFonts w:ascii="MinionPro-Regular" w:hAnsi="MinionPro-Regular"/>
          <w:sz w:val="20"/>
          <w:lang w:val="es-ES_tradnl"/>
        </w:rPr>
        <w:t xml:space="preserve"> Eje vertical, euros. Eje horizontal, conceptos considerados en la medición del impacto: Retorno derivado del IRPF (59.208.424 euros), retorno derivado de la cuota de seguridad social (120.123.748 euros), retorno derivado del IVA (239.555.474 euros), retorno derivado del impuesto de sociedades (40.700.000 euros), retorno derivado de las ayudas LISMI (</w:t>
      </w:r>
      <w:r w:rsidR="00FF7113" w:rsidRPr="001D2A97">
        <w:rPr>
          <w:rFonts w:ascii="MinionPro-Regular" w:hAnsi="MinionPro-Regular"/>
          <w:sz w:val="20"/>
          <w:lang w:val="es-ES_tradnl"/>
        </w:rPr>
        <w:t>1,778.73</w:t>
      </w:r>
      <w:r w:rsidR="00FF7113">
        <w:rPr>
          <w:rFonts w:ascii="MinionPro-Regular" w:hAnsi="MinionPro-Regular"/>
          <w:sz w:val="20"/>
          <w:lang w:val="es-ES_tradnl"/>
        </w:rPr>
        <w:t>8</w:t>
      </w:r>
      <w:r w:rsidR="00FF7113" w:rsidRPr="001D2A97">
        <w:rPr>
          <w:rFonts w:ascii="MinionPro-Regular" w:hAnsi="MinionPro-Regular"/>
          <w:sz w:val="20"/>
          <w:lang w:val="es-ES_tradnl"/>
        </w:rPr>
        <w:t xml:space="preserve"> euros),</w:t>
      </w:r>
      <w:r w:rsidR="00FF7113">
        <w:rPr>
          <w:rFonts w:ascii="MinionPro-Regular" w:hAnsi="MinionPro-Regular"/>
          <w:sz w:val="20"/>
          <w:lang w:val="es-ES_tradnl"/>
        </w:rPr>
        <w:t xml:space="preserve"> retorno pensiones no contributivas (22.730.090 euros), retorno derivado de las pensiones contributivas (43.417.067</w:t>
      </w:r>
      <w:r w:rsidR="00FF7113" w:rsidRPr="001D2A97">
        <w:rPr>
          <w:rFonts w:ascii="MinionPro-Regular" w:hAnsi="MinionPro-Regular"/>
          <w:sz w:val="20"/>
          <w:lang w:val="es-ES_tradnl"/>
        </w:rPr>
        <w:t xml:space="preserve"> euros), </w:t>
      </w:r>
      <w:r w:rsidR="00FF7113" w:rsidRPr="00937DA5">
        <w:rPr>
          <w:rFonts w:ascii="MinionPro-Regular" w:hAnsi="MinionPro-Regular"/>
          <w:sz w:val="20"/>
          <w:lang w:val="es-ES_tradnl"/>
        </w:rPr>
        <w:t>retorno derivado del ahorro sanitario (97.227.989 euros)</w:t>
      </w:r>
      <w:r w:rsidR="00FF7113">
        <w:rPr>
          <w:rFonts w:ascii="MinionPro-Regular" w:hAnsi="MinionPro-Regular"/>
          <w:sz w:val="20"/>
          <w:lang w:val="es-ES_tradnl"/>
        </w:rPr>
        <w:t xml:space="preserve"> y ahorro en plazas ocupacionales derivado de la transición desde el centro especial de empleo (</w:t>
      </w:r>
      <w:r w:rsidR="00FF7113" w:rsidRPr="005C1B58">
        <w:rPr>
          <w:rFonts w:ascii="MinionPro-Regular" w:hAnsi="MinionPro-Regular"/>
          <w:sz w:val="20"/>
          <w:lang w:val="es-ES_tradnl"/>
        </w:rPr>
        <w:t>135.389.131 euros</w:t>
      </w:r>
      <w:r w:rsidR="00FF7113">
        <w:rPr>
          <w:rFonts w:ascii="MinionPro-Regular" w:hAnsi="MinionPro-Regular"/>
          <w:sz w:val="20"/>
          <w:lang w:val="es-ES_tradnl"/>
        </w:rPr>
        <w:t xml:space="preserve">). </w:t>
      </w:r>
      <w:r w:rsidR="00FF7113" w:rsidRPr="00937DA5">
        <w:rPr>
          <w:rFonts w:ascii="MinionPro-Regular" w:hAnsi="MinionPro-Regular"/>
          <w:sz w:val="20"/>
          <w:lang w:val="es-ES_tradnl"/>
        </w:rPr>
        <w:t xml:space="preserve">Total retorno de los centros especiales de empleo: </w:t>
      </w:r>
      <w:r w:rsidR="00FF7113">
        <w:rPr>
          <w:rFonts w:ascii="MinionPro-Regular" w:hAnsi="MinionPro-Regular"/>
          <w:sz w:val="20"/>
          <w:lang w:val="es-ES_tradnl"/>
        </w:rPr>
        <w:t>760</w:t>
      </w:r>
      <w:r w:rsidR="00FF7113" w:rsidRPr="005C1B58">
        <w:rPr>
          <w:rFonts w:ascii="MinionPro-Regular" w:hAnsi="MinionPro-Regular"/>
          <w:sz w:val="20"/>
          <w:lang w:val="es-ES_tradnl"/>
        </w:rPr>
        <w:t>.</w:t>
      </w:r>
      <w:r w:rsidR="00FF7113">
        <w:rPr>
          <w:rFonts w:ascii="MinionPro-Regular" w:hAnsi="MinionPro-Regular"/>
          <w:sz w:val="20"/>
          <w:lang w:val="es-ES_tradnl"/>
        </w:rPr>
        <w:t>130</w:t>
      </w:r>
      <w:r w:rsidR="00FF7113" w:rsidRPr="005C1B58">
        <w:rPr>
          <w:rFonts w:ascii="MinionPro-Regular" w:hAnsi="MinionPro-Regular"/>
          <w:sz w:val="20"/>
          <w:lang w:val="es-ES_tradnl"/>
        </w:rPr>
        <w:t>.</w:t>
      </w:r>
      <w:r w:rsidR="00FF7113">
        <w:rPr>
          <w:rFonts w:ascii="MinionPro-Regular" w:hAnsi="MinionPro-Regular"/>
          <w:sz w:val="20"/>
          <w:lang w:val="es-ES_tradnl"/>
        </w:rPr>
        <w:t>661</w:t>
      </w:r>
      <w:r w:rsidR="00FF7113" w:rsidRPr="001D2A97">
        <w:rPr>
          <w:rFonts w:ascii="MinionPro-Regular" w:hAnsi="MinionPro-Regular"/>
          <w:sz w:val="20"/>
          <w:lang w:val="es-ES_tradnl"/>
        </w:rPr>
        <w:t xml:space="preserve"> euros</w:t>
      </w:r>
      <w:r w:rsidR="00FF7113">
        <w:rPr>
          <w:rFonts w:ascii="MinionPro-Regular" w:hAnsi="MinionPro-Regular"/>
          <w:sz w:val="20"/>
          <w:lang w:val="es-ES_tradnl"/>
        </w:rPr>
        <w:t>. Ayudas totales de la administración pública: 528.329.213 euros.</w:t>
      </w:r>
    </w:p>
    <w:p w:rsidR="007C5D06" w:rsidRPr="00720BE5" w:rsidRDefault="00720BE5" w:rsidP="00720BE5">
      <w:pPr>
        <w:autoSpaceDE w:val="0"/>
        <w:autoSpaceDN w:val="0"/>
        <w:spacing w:line="360" w:lineRule="auto"/>
        <w:jc w:val="both"/>
        <w:rPr>
          <w:rFonts w:ascii="MinionPro-Regular" w:hAnsi="MinionPro-Regular"/>
          <w:sz w:val="18"/>
          <w:szCs w:val="18"/>
          <w:lang w:val="es-ES_tradnl"/>
        </w:rPr>
      </w:pPr>
      <w:r w:rsidRPr="00720BE5">
        <w:rPr>
          <w:rFonts w:ascii="MinionPro-Regular" w:hAnsi="MinionPro-Regular"/>
          <w:sz w:val="18"/>
          <w:szCs w:val="18"/>
          <w:lang w:val="es-ES_tradnl"/>
        </w:rPr>
        <w:t>Datos de 2011-2012</w:t>
      </w:r>
    </w:p>
    <w:p w:rsidR="005A10B4" w:rsidRDefault="005A10B4">
      <w:pPr>
        <w:pStyle w:val="Ttulo2"/>
        <w:rPr>
          <w:rFonts w:ascii="MinionPro-Regular" w:hAnsi="MinionPro-Regular"/>
        </w:rPr>
      </w:pPr>
      <w:bookmarkStart w:id="26" w:name="_Toc352773597"/>
      <w:bookmarkStart w:id="27" w:name="_Toc410916863"/>
      <w:r>
        <w:rPr>
          <w:rFonts w:ascii="MinionPro-Regular" w:hAnsi="MinionPro-Regular"/>
        </w:rPr>
        <w:t>Otras consideraciones en el estudio de impacto</w:t>
      </w:r>
      <w:bookmarkEnd w:id="26"/>
      <w:bookmarkEnd w:id="27"/>
    </w:p>
    <w:p w:rsidR="005A10B4" w:rsidRPr="00D703CA" w:rsidRDefault="005A10B4" w:rsidP="005A10B4">
      <w:pPr>
        <w:pStyle w:val="Textoindependiente"/>
      </w:pPr>
    </w:p>
    <w:p w:rsidR="005A10B4" w:rsidRPr="009B79F2" w:rsidRDefault="005A10B4" w:rsidP="005A10B4">
      <w:pPr>
        <w:autoSpaceDE w:val="0"/>
        <w:autoSpaceDN w:val="0"/>
        <w:spacing w:line="360" w:lineRule="auto"/>
        <w:jc w:val="both"/>
        <w:rPr>
          <w:rFonts w:ascii="MinionPro-Regular" w:hAnsi="MinionPro-Regular"/>
          <w:sz w:val="24"/>
          <w:szCs w:val="24"/>
          <w:lang w:val="es-ES_tradnl"/>
        </w:rPr>
      </w:pPr>
      <w:r w:rsidRPr="009B79F2">
        <w:rPr>
          <w:rFonts w:ascii="MinionPro-Regular" w:hAnsi="MinionPro-Regular"/>
          <w:sz w:val="24"/>
          <w:szCs w:val="24"/>
          <w:lang w:val="es-ES_tradnl"/>
        </w:rPr>
        <w:t>A continuación se presentan una serie de conceptos que permiten, aunque no sean sumados a la hora de estimar el retorno, evaluar d</w:t>
      </w:r>
      <w:r>
        <w:rPr>
          <w:rFonts w:ascii="MinionPro-Regular" w:hAnsi="MinionPro-Regular"/>
          <w:sz w:val="24"/>
          <w:szCs w:val="24"/>
          <w:lang w:val="es-ES_tradnl"/>
        </w:rPr>
        <w:t>e</w:t>
      </w:r>
      <w:r w:rsidRPr="009B79F2">
        <w:rPr>
          <w:rFonts w:ascii="MinionPro-Regular" w:hAnsi="MinionPro-Regular"/>
          <w:sz w:val="24"/>
          <w:szCs w:val="24"/>
          <w:lang w:val="es-ES_tradnl"/>
        </w:rPr>
        <w:t xml:space="preserve"> manera más completa el impacto de los </w:t>
      </w:r>
      <w:r w:rsidR="00222CDD">
        <w:rPr>
          <w:rFonts w:ascii="MinionPro-Regular" w:hAnsi="MinionPro-Regular"/>
          <w:sz w:val="24"/>
          <w:szCs w:val="24"/>
          <w:lang w:val="es-ES_tradnl"/>
        </w:rPr>
        <w:t>centros especiale</w:t>
      </w:r>
      <w:r w:rsidR="00263316">
        <w:rPr>
          <w:rFonts w:ascii="MinionPro-Regular" w:hAnsi="MinionPro-Regular"/>
          <w:sz w:val="24"/>
          <w:szCs w:val="24"/>
          <w:lang w:val="es-ES_tradnl"/>
        </w:rPr>
        <w:t>s</w:t>
      </w:r>
      <w:r w:rsidR="00222CDD">
        <w:rPr>
          <w:rFonts w:ascii="MinionPro-Regular" w:hAnsi="MinionPro-Regular"/>
          <w:sz w:val="24"/>
          <w:szCs w:val="24"/>
          <w:lang w:val="es-ES_tradnl"/>
        </w:rPr>
        <w:t xml:space="preserve"> de empleo</w:t>
      </w:r>
      <w:r w:rsidR="00336EE3">
        <w:rPr>
          <w:rFonts w:ascii="MinionPro-Regular" w:hAnsi="MinionPro-Regular"/>
          <w:sz w:val="24"/>
          <w:szCs w:val="24"/>
          <w:lang w:val="es-ES_tradnl"/>
        </w:rPr>
        <w:t xml:space="preserve"> de Castilla y León</w:t>
      </w:r>
      <w:r w:rsidR="00426F14">
        <w:rPr>
          <w:rFonts w:ascii="MinionPro-Regular" w:hAnsi="MinionPro-Regular"/>
          <w:sz w:val="24"/>
          <w:szCs w:val="24"/>
          <w:lang w:val="es-ES_tradnl"/>
        </w:rPr>
        <w:t>.</w:t>
      </w:r>
    </w:p>
    <w:p w:rsidR="005A10B4" w:rsidRPr="00FF27FE" w:rsidRDefault="005A10B4" w:rsidP="00842404">
      <w:pPr>
        <w:pStyle w:val="Ttulo3"/>
      </w:pPr>
      <w:bookmarkStart w:id="28" w:name="_Toc352773598"/>
      <w:bookmarkStart w:id="29" w:name="_Toc410916864"/>
      <w:r w:rsidRPr="00FF27FE">
        <w:t>Prestaciones por desempleo</w:t>
      </w:r>
      <w:bookmarkEnd w:id="28"/>
      <w:bookmarkEnd w:id="29"/>
    </w:p>
    <w:p w:rsidR="005A10B4" w:rsidRDefault="005A10B4" w:rsidP="005A10B4">
      <w:pPr>
        <w:pStyle w:val="Textoindependiente"/>
      </w:pPr>
    </w:p>
    <w:p w:rsidR="005A10B4" w:rsidRPr="00C64718" w:rsidRDefault="005A10B4" w:rsidP="005A10B4">
      <w:pPr>
        <w:autoSpaceDE w:val="0"/>
        <w:autoSpaceDN w:val="0"/>
        <w:spacing w:line="360" w:lineRule="auto"/>
        <w:jc w:val="both"/>
        <w:rPr>
          <w:rFonts w:ascii="MinionPro-Regular" w:hAnsi="MinionPro-Regular"/>
          <w:sz w:val="24"/>
          <w:szCs w:val="24"/>
          <w:lang w:val="es-ES_tradnl"/>
        </w:rPr>
      </w:pPr>
      <w:r w:rsidRPr="00C64718">
        <w:rPr>
          <w:rFonts w:ascii="MinionPro-Regular" w:hAnsi="MinionPro-Regular"/>
          <w:sz w:val="24"/>
          <w:szCs w:val="24"/>
          <w:lang w:val="es-ES_tradnl"/>
        </w:rPr>
        <w:lastRenderedPageBreak/>
        <w:t>Con independencia de las pensiones que las personas con discapacidad podrían percib</w:t>
      </w:r>
      <w:r>
        <w:rPr>
          <w:rFonts w:ascii="MinionPro-Regular" w:hAnsi="MinionPro-Regular"/>
          <w:sz w:val="24"/>
          <w:szCs w:val="24"/>
          <w:lang w:val="es-ES_tradnl"/>
        </w:rPr>
        <w:t xml:space="preserve">ir en concepto de invalidez, y </w:t>
      </w:r>
      <w:r w:rsidRPr="00C64718">
        <w:rPr>
          <w:rFonts w:ascii="MinionPro-Regular" w:hAnsi="MinionPro-Regular"/>
          <w:sz w:val="24"/>
          <w:szCs w:val="24"/>
          <w:lang w:val="es-ES_tradnl"/>
        </w:rPr>
        <w:t xml:space="preserve">al igual que cualquier otro trabajador, </w:t>
      </w:r>
      <w:r w:rsidR="00426F14">
        <w:rPr>
          <w:rFonts w:ascii="MinionPro-Regular" w:hAnsi="MinionPro-Regular"/>
          <w:sz w:val="24"/>
          <w:szCs w:val="24"/>
          <w:lang w:val="es-ES_tradnl"/>
        </w:rPr>
        <w:t xml:space="preserve">éstas </w:t>
      </w:r>
      <w:r w:rsidRPr="00C64718">
        <w:rPr>
          <w:rFonts w:ascii="MinionPro-Regular" w:hAnsi="MinionPro-Regular"/>
          <w:sz w:val="24"/>
          <w:szCs w:val="24"/>
          <w:lang w:val="es-ES_tradnl"/>
        </w:rPr>
        <w:t>podrían tener acceso a percibir la prestación por desempleo en caso de perder su trabajo.</w:t>
      </w:r>
    </w:p>
    <w:p w:rsidR="005A10B4" w:rsidRPr="00C64718" w:rsidRDefault="005A10B4" w:rsidP="005A10B4">
      <w:pPr>
        <w:autoSpaceDE w:val="0"/>
        <w:autoSpaceDN w:val="0"/>
        <w:spacing w:line="360" w:lineRule="auto"/>
        <w:jc w:val="both"/>
        <w:rPr>
          <w:rFonts w:ascii="MinionPro-Regular" w:hAnsi="MinionPro-Regular"/>
          <w:sz w:val="24"/>
          <w:szCs w:val="24"/>
          <w:lang w:val="es-ES_tradnl"/>
        </w:rPr>
      </w:pPr>
    </w:p>
    <w:p w:rsidR="005A10B4" w:rsidRPr="00C64718" w:rsidRDefault="005A10B4" w:rsidP="005A10B4">
      <w:pPr>
        <w:autoSpaceDE w:val="0"/>
        <w:autoSpaceDN w:val="0"/>
        <w:spacing w:line="360" w:lineRule="auto"/>
        <w:jc w:val="both"/>
        <w:rPr>
          <w:rFonts w:ascii="MinionPro-Regular" w:hAnsi="MinionPro-Regular"/>
          <w:sz w:val="24"/>
          <w:szCs w:val="24"/>
          <w:lang w:val="es-ES_tradnl"/>
        </w:rPr>
      </w:pPr>
      <w:r w:rsidRPr="00C64718">
        <w:rPr>
          <w:rFonts w:ascii="MinionPro-Regular" w:hAnsi="MinionPro-Regular"/>
          <w:sz w:val="24"/>
          <w:szCs w:val="24"/>
          <w:lang w:val="es-ES_tradnl"/>
        </w:rPr>
        <w:t xml:space="preserve">Teniendo en cuenta el salario medio anual de las personas </w:t>
      </w:r>
      <w:r w:rsidR="004E2C35">
        <w:rPr>
          <w:rFonts w:ascii="MinionPro-Regular" w:hAnsi="MinionPro-Regular"/>
          <w:sz w:val="24"/>
          <w:szCs w:val="24"/>
          <w:lang w:val="es-ES_tradnl"/>
        </w:rPr>
        <w:t xml:space="preserve">empleadas </w:t>
      </w:r>
      <w:r w:rsidR="00222CDD">
        <w:rPr>
          <w:rFonts w:ascii="MinionPro-Regular" w:hAnsi="MinionPro-Regular"/>
          <w:sz w:val="24"/>
          <w:szCs w:val="24"/>
          <w:lang w:val="es-ES_tradnl"/>
        </w:rPr>
        <w:t>en los centros especiales de e</w:t>
      </w:r>
      <w:r w:rsidR="00914D4D">
        <w:rPr>
          <w:rFonts w:ascii="MinionPro-Regular" w:hAnsi="MinionPro-Regular"/>
          <w:sz w:val="24"/>
          <w:szCs w:val="24"/>
          <w:lang w:val="es-ES_tradnl"/>
        </w:rPr>
        <w:t>mpleo de Castilla y León (alrededor de 17.000</w:t>
      </w:r>
      <w:r w:rsidRPr="00C64718">
        <w:rPr>
          <w:rFonts w:ascii="MinionPro-Regular" w:hAnsi="MinionPro-Regular"/>
          <w:sz w:val="24"/>
          <w:szCs w:val="24"/>
          <w:lang w:val="es-ES_tradnl"/>
        </w:rPr>
        <w:t xml:space="preserve"> euros), se ha estimado la media de prestación por desempleo que en un</w:t>
      </w:r>
      <w:r w:rsidR="00914D4D">
        <w:rPr>
          <w:rFonts w:ascii="MinionPro-Regular" w:hAnsi="MinionPro-Regular"/>
          <w:sz w:val="24"/>
          <w:szCs w:val="24"/>
          <w:lang w:val="es-ES_tradnl"/>
        </w:rPr>
        <w:t xml:space="preserve"> año estas personas percibirían.</w:t>
      </w:r>
      <w:r w:rsidR="004E2C35">
        <w:rPr>
          <w:rStyle w:val="Refdenotaalpie"/>
          <w:rFonts w:ascii="MinionPro-Regular" w:hAnsi="MinionPro-Regular"/>
          <w:sz w:val="24"/>
          <w:szCs w:val="24"/>
          <w:lang w:val="es-ES_tradnl"/>
        </w:rPr>
        <w:footnoteReference w:id="2"/>
      </w:r>
    </w:p>
    <w:p w:rsidR="005A10B4" w:rsidRPr="00C64718" w:rsidRDefault="005A10B4" w:rsidP="005A10B4">
      <w:pPr>
        <w:autoSpaceDE w:val="0"/>
        <w:autoSpaceDN w:val="0"/>
        <w:spacing w:line="360" w:lineRule="auto"/>
        <w:jc w:val="both"/>
        <w:rPr>
          <w:rFonts w:ascii="MinionPro-Regular" w:hAnsi="MinionPro-Regular"/>
          <w:sz w:val="24"/>
          <w:szCs w:val="24"/>
          <w:lang w:val="es-ES_tradnl"/>
        </w:rPr>
      </w:pPr>
    </w:p>
    <w:p w:rsidR="005A10B4" w:rsidRDefault="005A10B4" w:rsidP="005A10B4">
      <w:pPr>
        <w:autoSpaceDE w:val="0"/>
        <w:autoSpaceDN w:val="0"/>
        <w:spacing w:line="360" w:lineRule="auto"/>
        <w:jc w:val="both"/>
        <w:rPr>
          <w:rFonts w:ascii="MinionPro-Regular" w:hAnsi="MinionPro-Regular"/>
          <w:sz w:val="24"/>
          <w:szCs w:val="24"/>
          <w:lang w:val="es-ES_tradnl"/>
        </w:rPr>
      </w:pPr>
      <w:r w:rsidRPr="00C64718">
        <w:rPr>
          <w:rFonts w:ascii="MinionPro-Regular" w:hAnsi="MinionPro-Regular"/>
          <w:sz w:val="24"/>
          <w:szCs w:val="24"/>
          <w:lang w:val="es-ES_tradnl"/>
        </w:rPr>
        <w:t xml:space="preserve">Para ello, se ha calculado la base </w:t>
      </w:r>
      <w:r w:rsidR="001C6D07">
        <w:rPr>
          <w:rFonts w:ascii="MinionPro-Regular" w:hAnsi="MinionPro-Regular"/>
          <w:sz w:val="24"/>
          <w:szCs w:val="24"/>
          <w:lang w:val="es-ES_tradnl"/>
        </w:rPr>
        <w:t>media por día (46</w:t>
      </w:r>
      <w:r w:rsidRPr="00C64718">
        <w:rPr>
          <w:rFonts w:ascii="MinionPro-Regular" w:hAnsi="MinionPro-Regular"/>
          <w:sz w:val="24"/>
          <w:szCs w:val="24"/>
          <w:lang w:val="es-ES_tradnl"/>
        </w:rPr>
        <w:t xml:space="preserve"> euros) y se ha estimado la cantidad de los primeros 180 días, y la cantidad del día 181 al 360. Esta diferenciación está causada por la diferencia en porcentaje de percepción de la prestación. Teniendo en cuenta que el número de personas </w:t>
      </w:r>
      <w:r w:rsidR="003A76A8">
        <w:rPr>
          <w:rFonts w:ascii="MinionPro-Regular" w:hAnsi="MinionPro-Regular"/>
          <w:sz w:val="24"/>
          <w:szCs w:val="24"/>
          <w:lang w:val="es-ES_tradnl"/>
        </w:rPr>
        <w:t>empleadas</w:t>
      </w:r>
      <w:r w:rsidRPr="00C64718">
        <w:rPr>
          <w:rFonts w:ascii="MinionPro-Regular" w:hAnsi="MinionPro-Regular"/>
          <w:sz w:val="24"/>
          <w:szCs w:val="24"/>
          <w:lang w:val="es-ES_tradnl"/>
        </w:rPr>
        <w:t xml:space="preserve"> en </w:t>
      </w:r>
      <w:r w:rsidR="00222CDD">
        <w:rPr>
          <w:rFonts w:ascii="MinionPro-Regular" w:hAnsi="MinionPro-Regular"/>
          <w:sz w:val="24"/>
          <w:szCs w:val="24"/>
          <w:lang w:val="es-ES_tradnl"/>
        </w:rPr>
        <w:t>centros</w:t>
      </w:r>
      <w:r>
        <w:rPr>
          <w:rFonts w:ascii="MinionPro-Regular" w:hAnsi="MinionPro-Regular"/>
          <w:sz w:val="24"/>
          <w:szCs w:val="24"/>
          <w:lang w:val="es-ES_tradnl"/>
        </w:rPr>
        <w:t xml:space="preserve"> de Castilla y León es igual a </w:t>
      </w:r>
      <w:r w:rsidR="003A76A8">
        <w:rPr>
          <w:rFonts w:ascii="MinionPro-Regular" w:hAnsi="MinionPro-Regular"/>
          <w:sz w:val="24"/>
          <w:szCs w:val="24"/>
          <w:lang w:val="es-ES_tradnl"/>
        </w:rPr>
        <w:t>4.548 (a 31 de Diciembre de 2013</w:t>
      </w:r>
      <w:r w:rsidRPr="00C64718">
        <w:rPr>
          <w:rFonts w:ascii="MinionPro-Regular" w:hAnsi="MinionPro-Regular"/>
          <w:sz w:val="24"/>
          <w:szCs w:val="24"/>
          <w:lang w:val="es-ES_tradnl"/>
        </w:rPr>
        <w:t xml:space="preserve">), la cifra total de prestaciones por desempleo (valor medio) sería igual a </w:t>
      </w:r>
      <w:r w:rsidR="001C6D07">
        <w:rPr>
          <w:rFonts w:ascii="MinionPro-Regular" w:hAnsi="MinionPro-Regular"/>
          <w:sz w:val="24"/>
          <w:szCs w:val="24"/>
          <w:lang w:val="es-ES_tradnl"/>
        </w:rPr>
        <w:t>4</w:t>
      </w:r>
      <w:r w:rsidR="003A76A8">
        <w:rPr>
          <w:rFonts w:ascii="MinionPro-Regular" w:hAnsi="MinionPro-Regular"/>
          <w:sz w:val="24"/>
          <w:szCs w:val="24"/>
          <w:lang w:val="es-ES_tradnl"/>
        </w:rPr>
        <w:t>6</w:t>
      </w:r>
      <w:r>
        <w:rPr>
          <w:rFonts w:ascii="MinionPro-Regular" w:hAnsi="MinionPro-Regular"/>
          <w:sz w:val="24"/>
          <w:szCs w:val="24"/>
          <w:lang w:val="es-ES_tradnl"/>
        </w:rPr>
        <w:t xml:space="preserve"> millones de euros aproximadamente.</w:t>
      </w:r>
    </w:p>
    <w:p w:rsidR="005A10B4" w:rsidRDefault="005A10B4" w:rsidP="005A10B4">
      <w:pPr>
        <w:autoSpaceDE w:val="0"/>
        <w:autoSpaceDN w:val="0"/>
        <w:spacing w:line="360" w:lineRule="auto"/>
        <w:jc w:val="both"/>
        <w:rPr>
          <w:rFonts w:ascii="MinionPro-Regular" w:hAnsi="MinionPro-Regular"/>
          <w:sz w:val="24"/>
          <w:szCs w:val="24"/>
          <w:lang w:val="es-ES_tradnl"/>
        </w:rPr>
      </w:pPr>
    </w:p>
    <w:p w:rsidR="005A10B4" w:rsidRPr="0075606C" w:rsidRDefault="005A10B4" w:rsidP="005A10B4">
      <w:pPr>
        <w:pStyle w:val="Textoindependiente"/>
        <w:pBdr>
          <w:top w:val="single" w:sz="4" w:space="1" w:color="auto"/>
        </w:pBdr>
        <w:rPr>
          <w:rFonts w:ascii="MinionPro-Regular" w:hAnsi="MinionPro-Regular"/>
          <w:sz w:val="20"/>
        </w:rPr>
      </w:pPr>
      <w:r w:rsidRPr="0075606C">
        <w:rPr>
          <w:rFonts w:ascii="MinionPro-Regular" w:hAnsi="MinionPro-Regular"/>
          <w:sz w:val="20"/>
        </w:rPr>
        <w:t xml:space="preserve">Tabla para la estimación </w:t>
      </w:r>
      <w:r>
        <w:rPr>
          <w:rFonts w:ascii="MinionPro-Regular" w:hAnsi="MinionPro-Regular"/>
          <w:sz w:val="20"/>
        </w:rPr>
        <w:t>de las pensiones contributivas por desempleo</w:t>
      </w:r>
      <w:r w:rsidR="002225DC">
        <w:rPr>
          <w:rFonts w:ascii="MinionPro-Regular" w:hAnsi="MinionPro-Regular"/>
          <w:sz w:val="20"/>
        </w:rPr>
        <w:t xml:space="preserve"> </w:t>
      </w:r>
    </w:p>
    <w:tbl>
      <w:tblPr>
        <w:tblStyle w:val="KPMGtable"/>
        <w:tblW w:w="7814" w:type="dxa"/>
        <w:tblLook w:val="00A0"/>
      </w:tblPr>
      <w:tblGrid>
        <w:gridCol w:w="1194"/>
        <w:gridCol w:w="1309"/>
        <w:gridCol w:w="1309"/>
        <w:gridCol w:w="1309"/>
        <w:gridCol w:w="1545"/>
        <w:gridCol w:w="1148"/>
      </w:tblGrid>
      <w:tr w:rsidR="005A10B4" w:rsidRPr="00E55DA4" w:rsidTr="00C86FD5">
        <w:trPr>
          <w:cnfStyle w:val="100000000000"/>
          <w:trHeight w:val="609"/>
        </w:trPr>
        <w:tc>
          <w:tcPr>
            <w:tcW w:w="1194" w:type="dxa"/>
            <w:vAlign w:val="center"/>
          </w:tcPr>
          <w:p w:rsidR="005A10B4" w:rsidRPr="00842404" w:rsidRDefault="005A10B4" w:rsidP="00C86FD5">
            <w:pPr>
              <w:jc w:val="center"/>
              <w:rPr>
                <w:rFonts w:ascii="MinionPro-Regular" w:hAnsi="MinionPro-Regular" w:cs="Calibri"/>
                <w:color w:val="FFFFFF" w:themeColor="background1"/>
                <w:sz w:val="20"/>
              </w:rPr>
            </w:pPr>
            <w:r w:rsidRPr="00842404">
              <w:rPr>
                <w:rFonts w:ascii="MinionPro-Regular" w:hAnsi="MinionPro-Regular" w:cs="Calibri"/>
                <w:color w:val="FFFFFF" w:themeColor="background1"/>
                <w:sz w:val="20"/>
              </w:rPr>
              <w:t>Salario medio</w:t>
            </w:r>
            <w:r w:rsidR="003E4FED" w:rsidRPr="00842404">
              <w:rPr>
                <w:rFonts w:ascii="MinionPro-Regular" w:hAnsi="MinionPro-Regular" w:cs="Calibri"/>
                <w:color w:val="FFFFFF" w:themeColor="background1"/>
                <w:sz w:val="20"/>
              </w:rPr>
              <w:t xml:space="preserve"> en CEEs de CyL</w:t>
            </w:r>
            <w:r w:rsidRPr="00842404">
              <w:rPr>
                <w:rFonts w:ascii="MinionPro-Regular" w:hAnsi="MinionPro-Regular" w:cs="Calibri"/>
                <w:color w:val="FFFFFF" w:themeColor="background1"/>
                <w:sz w:val="20"/>
              </w:rPr>
              <w:t xml:space="preserve"> (euros)</w:t>
            </w:r>
          </w:p>
        </w:tc>
        <w:tc>
          <w:tcPr>
            <w:tcW w:w="1309" w:type="dxa"/>
            <w:vAlign w:val="center"/>
          </w:tcPr>
          <w:p w:rsidR="005A10B4" w:rsidRPr="001F77AB" w:rsidRDefault="005A10B4" w:rsidP="00C86FD5">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Base de cotización media por día (euros)</w:t>
            </w:r>
          </w:p>
        </w:tc>
        <w:tc>
          <w:tcPr>
            <w:tcW w:w="1309" w:type="dxa"/>
            <w:vAlign w:val="center"/>
          </w:tcPr>
          <w:p w:rsidR="005A10B4" w:rsidRPr="001F77AB" w:rsidRDefault="005A10B4" w:rsidP="00C86FD5">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180 días el 70% de la base de cotización (euros)</w:t>
            </w:r>
          </w:p>
        </w:tc>
        <w:tc>
          <w:tcPr>
            <w:tcW w:w="1309" w:type="dxa"/>
            <w:vAlign w:val="center"/>
          </w:tcPr>
          <w:p w:rsidR="005A10B4" w:rsidRPr="001F77AB" w:rsidRDefault="005A10B4" w:rsidP="00C86FD5">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181 a 360 el 50% de la base de cotización</w:t>
            </w:r>
          </w:p>
        </w:tc>
        <w:tc>
          <w:tcPr>
            <w:tcW w:w="1545" w:type="dxa"/>
            <w:vAlign w:val="center"/>
          </w:tcPr>
          <w:p w:rsidR="005A10B4" w:rsidRPr="001F77AB" w:rsidRDefault="005A10B4" w:rsidP="00C86FD5">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Media de las prestaciones por desempleo percibidas por persona (euros al año)</w:t>
            </w:r>
          </w:p>
        </w:tc>
        <w:tc>
          <w:tcPr>
            <w:tcW w:w="1148" w:type="dxa"/>
            <w:vAlign w:val="center"/>
          </w:tcPr>
          <w:p w:rsidR="005A10B4" w:rsidRPr="001F77AB" w:rsidRDefault="005A10B4" w:rsidP="00C86FD5">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Total</w:t>
            </w:r>
          </w:p>
          <w:p w:rsidR="005A10B4" w:rsidRPr="001F77AB" w:rsidRDefault="005A10B4" w:rsidP="00C86FD5">
            <w:pPr>
              <w:jc w:val="center"/>
              <w:rPr>
                <w:rFonts w:ascii="MinionPro-Regular" w:hAnsi="MinionPro-Regular" w:cs="Calibri"/>
                <w:color w:val="FFFFFF" w:themeColor="background1"/>
                <w:sz w:val="20"/>
                <w:lang w:val="es-ES_tradnl"/>
              </w:rPr>
            </w:pPr>
            <w:r w:rsidRPr="001F77AB">
              <w:rPr>
                <w:rFonts w:ascii="MinionPro-Regular" w:hAnsi="MinionPro-Regular" w:cs="Calibri"/>
                <w:color w:val="FFFFFF" w:themeColor="background1"/>
                <w:sz w:val="20"/>
                <w:lang w:val="es-ES_tradnl"/>
              </w:rPr>
              <w:t>(euros)</w:t>
            </w:r>
          </w:p>
        </w:tc>
      </w:tr>
      <w:tr w:rsidR="005A10B4" w:rsidRPr="001E237F" w:rsidTr="00C86FD5">
        <w:trPr>
          <w:trHeight w:val="304"/>
        </w:trPr>
        <w:tc>
          <w:tcPr>
            <w:tcW w:w="1194" w:type="dxa"/>
          </w:tcPr>
          <w:p w:rsidR="005A10B4" w:rsidRPr="001E237F" w:rsidRDefault="002225DC">
            <w:pPr>
              <w:jc w:val="center"/>
              <w:rPr>
                <w:rFonts w:ascii="MinionPro-Regular" w:hAnsi="MinionPro-Regular" w:cs="Calibri"/>
                <w:color w:val="000000"/>
                <w:sz w:val="20"/>
                <w:lang w:val="en-US"/>
              </w:rPr>
            </w:pPr>
            <w:r>
              <w:rPr>
                <w:rFonts w:ascii="MinionPro-Regular" w:hAnsi="MinionPro-Regular" w:cs="Calibri"/>
                <w:color w:val="000000"/>
                <w:sz w:val="20"/>
                <w:lang w:val="en-US"/>
              </w:rPr>
              <w:t>16.920</w:t>
            </w:r>
          </w:p>
        </w:tc>
        <w:tc>
          <w:tcPr>
            <w:tcW w:w="1309" w:type="dxa"/>
          </w:tcPr>
          <w:p w:rsidR="005A10B4" w:rsidRPr="001E237F" w:rsidRDefault="001C6D07" w:rsidP="00C86FD5">
            <w:pPr>
              <w:jc w:val="center"/>
              <w:rPr>
                <w:rFonts w:ascii="MinionPro-Regular" w:hAnsi="MinionPro-Regular" w:cs="Calibri"/>
                <w:color w:val="000000"/>
                <w:sz w:val="20"/>
                <w:lang w:val="en-US"/>
              </w:rPr>
            </w:pPr>
            <w:r>
              <w:rPr>
                <w:rFonts w:ascii="MinionPro-Regular" w:hAnsi="MinionPro-Regular" w:cs="Calibri"/>
                <w:color w:val="000000"/>
                <w:sz w:val="20"/>
                <w:lang w:val="en-US"/>
              </w:rPr>
              <w:t>46,35</w:t>
            </w:r>
          </w:p>
        </w:tc>
        <w:tc>
          <w:tcPr>
            <w:tcW w:w="1309" w:type="dxa"/>
          </w:tcPr>
          <w:p w:rsidR="005A10B4" w:rsidRPr="001E237F" w:rsidRDefault="001C6D07" w:rsidP="00C86FD5">
            <w:pPr>
              <w:jc w:val="center"/>
              <w:rPr>
                <w:rFonts w:ascii="MinionPro-Regular" w:hAnsi="MinionPro-Regular" w:cs="Calibri"/>
                <w:color w:val="000000"/>
                <w:sz w:val="20"/>
                <w:lang w:val="en-US"/>
              </w:rPr>
            </w:pPr>
            <w:r>
              <w:rPr>
                <w:rFonts w:ascii="MinionPro-Regular" w:hAnsi="MinionPro-Regular" w:cs="Calibri"/>
                <w:color w:val="000000"/>
                <w:sz w:val="20"/>
                <w:lang w:val="en-US"/>
              </w:rPr>
              <w:t>5.841</w:t>
            </w:r>
          </w:p>
        </w:tc>
        <w:tc>
          <w:tcPr>
            <w:tcW w:w="1309" w:type="dxa"/>
          </w:tcPr>
          <w:p w:rsidR="005A10B4" w:rsidRPr="001E237F" w:rsidRDefault="001C6D07" w:rsidP="00C86FD5">
            <w:pPr>
              <w:jc w:val="center"/>
              <w:rPr>
                <w:rFonts w:ascii="MinionPro-Regular" w:hAnsi="MinionPro-Regular" w:cs="Calibri"/>
                <w:color w:val="000000"/>
                <w:sz w:val="20"/>
                <w:lang w:val="en-US"/>
              </w:rPr>
            </w:pPr>
            <w:r>
              <w:rPr>
                <w:rFonts w:ascii="MinionPro-Regular" w:hAnsi="MinionPro-Regular" w:cs="Calibri"/>
                <w:color w:val="000000"/>
                <w:sz w:val="20"/>
                <w:lang w:val="en-US"/>
              </w:rPr>
              <w:t>4.287</w:t>
            </w:r>
          </w:p>
        </w:tc>
        <w:tc>
          <w:tcPr>
            <w:tcW w:w="1545" w:type="dxa"/>
          </w:tcPr>
          <w:p w:rsidR="005A10B4" w:rsidRPr="001E237F" w:rsidRDefault="001C6D07" w:rsidP="00C86FD5">
            <w:pPr>
              <w:jc w:val="center"/>
              <w:rPr>
                <w:rFonts w:ascii="MinionPro-Regular" w:hAnsi="MinionPro-Regular" w:cs="Calibri"/>
                <w:color w:val="000000"/>
                <w:sz w:val="20"/>
                <w:lang w:val="en-US"/>
              </w:rPr>
            </w:pPr>
            <w:r>
              <w:rPr>
                <w:rFonts w:ascii="MinionPro-Regular" w:hAnsi="MinionPro-Regular" w:cs="Calibri"/>
                <w:color w:val="000000"/>
                <w:sz w:val="20"/>
                <w:lang w:val="en-US"/>
              </w:rPr>
              <w:t>10.129</w:t>
            </w:r>
          </w:p>
        </w:tc>
        <w:tc>
          <w:tcPr>
            <w:tcW w:w="1148" w:type="dxa"/>
          </w:tcPr>
          <w:p w:rsidR="005A10B4" w:rsidRPr="001E237F" w:rsidRDefault="003A76A8">
            <w:pPr>
              <w:jc w:val="center"/>
              <w:rPr>
                <w:rFonts w:ascii="MinionPro-Regular" w:hAnsi="MinionPro-Regular" w:cs="Calibri"/>
                <w:color w:val="000000"/>
                <w:sz w:val="20"/>
                <w:lang w:val="en-US"/>
              </w:rPr>
            </w:pPr>
            <w:r>
              <w:rPr>
                <w:rFonts w:ascii="MinionPro-Regular" w:hAnsi="MinionPro-Regular" w:cs="Calibri"/>
                <w:color w:val="000000"/>
                <w:sz w:val="20"/>
                <w:lang w:val="en-US"/>
              </w:rPr>
              <w:t>46.065.882</w:t>
            </w:r>
          </w:p>
        </w:tc>
      </w:tr>
    </w:tbl>
    <w:p w:rsidR="005A10B4" w:rsidRPr="00FF27FE" w:rsidRDefault="005A10B4" w:rsidP="005A10B4">
      <w:pPr>
        <w:pBdr>
          <w:bottom w:val="single" w:sz="4" w:space="1" w:color="auto"/>
        </w:pBdr>
        <w:autoSpaceDE w:val="0"/>
        <w:autoSpaceDN w:val="0"/>
        <w:spacing w:line="360" w:lineRule="auto"/>
        <w:jc w:val="both"/>
        <w:rPr>
          <w:rFonts w:ascii="MinionPro-Regular" w:hAnsi="MinionPro-Regular"/>
          <w:sz w:val="24"/>
          <w:szCs w:val="24"/>
          <w:lang w:val="es-ES_tradnl"/>
        </w:rPr>
      </w:pPr>
      <w:r w:rsidRPr="00E55DA4">
        <w:rPr>
          <w:rFonts w:ascii="MinionPro-Regular" w:hAnsi="MinionPro-Regular" w:cs="Calibri"/>
          <w:color w:val="000000"/>
          <w:sz w:val="20"/>
          <w:lang w:val="en-US"/>
        </w:rPr>
        <w:t>Fuent</w:t>
      </w:r>
      <w:r>
        <w:rPr>
          <w:rFonts w:ascii="MinionPro-Regular" w:hAnsi="MinionPro-Regular" w:cs="Calibri"/>
          <w:color w:val="000000"/>
          <w:sz w:val="20"/>
          <w:lang w:val="en-US"/>
        </w:rPr>
        <w:t>e: Seguridad Social, SPEE</w:t>
      </w:r>
    </w:p>
    <w:p w:rsidR="005A10B4" w:rsidRPr="00842404" w:rsidRDefault="006A42A8" w:rsidP="005A10B4">
      <w:pPr>
        <w:pStyle w:val="Textoindependiente"/>
        <w:rPr>
          <w:sz w:val="18"/>
          <w:szCs w:val="18"/>
        </w:rPr>
      </w:pPr>
      <w:r w:rsidRPr="00842404">
        <w:rPr>
          <w:sz w:val="18"/>
          <w:szCs w:val="18"/>
        </w:rPr>
        <w:t>Datos de 2013</w:t>
      </w:r>
    </w:p>
    <w:p w:rsidR="005A10B4" w:rsidRPr="003B689D" w:rsidRDefault="005A10B4" w:rsidP="00842404">
      <w:pPr>
        <w:pStyle w:val="Ttulo3"/>
      </w:pPr>
      <w:bookmarkStart w:id="30" w:name="_Toc352773599"/>
      <w:bookmarkStart w:id="31" w:name="_Toc410916865"/>
      <w:r w:rsidRPr="005537A9">
        <w:t xml:space="preserve">Los </w:t>
      </w:r>
      <w:r w:rsidR="00263316">
        <w:t>Centros Especiales de Empleo</w:t>
      </w:r>
      <w:r w:rsidRPr="005537A9">
        <w:t xml:space="preserve"> </w:t>
      </w:r>
      <w:r w:rsidR="00D740B8">
        <w:t xml:space="preserve">de Castilla y León </w:t>
      </w:r>
      <w:r w:rsidRPr="005537A9">
        <w:t xml:space="preserve">dedican </w:t>
      </w:r>
      <w:r w:rsidR="00832596">
        <w:t xml:space="preserve">más de </w:t>
      </w:r>
      <w:r w:rsidR="00D740B8">
        <w:t xml:space="preserve">76 </w:t>
      </w:r>
      <w:r w:rsidRPr="005537A9">
        <w:t xml:space="preserve">millones al pago </w:t>
      </w:r>
      <w:r w:rsidRPr="003B689D">
        <w:t xml:space="preserve">de salarios </w:t>
      </w:r>
      <w:r w:rsidR="00D740B8">
        <w:t>de sus trabajadores</w:t>
      </w:r>
      <w:bookmarkEnd w:id="30"/>
      <w:r w:rsidR="00D740B8">
        <w:t>.</w:t>
      </w:r>
      <w:bookmarkEnd w:id="31"/>
    </w:p>
    <w:p w:rsidR="005A10B4" w:rsidRDefault="005A10B4" w:rsidP="005A10B4"/>
    <w:p w:rsidR="005A10B4" w:rsidRDefault="005A10B4" w:rsidP="005A10B4">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Describir el impacto de los </w:t>
      </w:r>
      <w:r w:rsidR="00263316">
        <w:rPr>
          <w:rFonts w:ascii="MinionPro-Regular" w:hAnsi="MinionPro-Regular"/>
          <w:sz w:val="24"/>
          <w:szCs w:val="24"/>
          <w:lang w:val="es-ES_tradnl"/>
        </w:rPr>
        <w:t>CEEs</w:t>
      </w:r>
      <w:r>
        <w:rPr>
          <w:rFonts w:ascii="MinionPro-Regular" w:hAnsi="MinionPro-Regular"/>
          <w:sz w:val="24"/>
          <w:szCs w:val="24"/>
          <w:lang w:val="es-ES_tradnl"/>
        </w:rPr>
        <w:t xml:space="preserve"> requiere también poner el acento en el empleo generado y los salarios percibidos por el total de los trabajadores de los </w:t>
      </w:r>
      <w:r w:rsidR="00E95BD1">
        <w:rPr>
          <w:rFonts w:ascii="MinionPro-Regular" w:hAnsi="MinionPro-Regular"/>
          <w:sz w:val="24"/>
          <w:szCs w:val="24"/>
          <w:lang w:val="es-ES_tradnl"/>
        </w:rPr>
        <w:t>centro</w:t>
      </w:r>
      <w:r w:rsidR="00263316">
        <w:rPr>
          <w:rFonts w:ascii="MinionPro-Regular" w:hAnsi="MinionPro-Regular"/>
          <w:sz w:val="24"/>
          <w:szCs w:val="24"/>
          <w:lang w:val="es-ES_tradnl"/>
        </w:rPr>
        <w:t>s</w:t>
      </w:r>
      <w:r>
        <w:rPr>
          <w:rFonts w:ascii="MinionPro-Regular" w:hAnsi="MinionPro-Regular"/>
          <w:sz w:val="24"/>
          <w:szCs w:val="24"/>
          <w:lang w:val="es-ES_tradnl"/>
        </w:rPr>
        <w:t xml:space="preserve">. En </w:t>
      </w:r>
      <w:r>
        <w:rPr>
          <w:rFonts w:ascii="MinionPro-Regular" w:hAnsi="MinionPro-Regular"/>
          <w:sz w:val="24"/>
          <w:szCs w:val="24"/>
          <w:lang w:val="es-ES_tradnl"/>
        </w:rPr>
        <w:lastRenderedPageBreak/>
        <w:t xml:space="preserve">Castilla y León, a 31 de diciembre de 2013 y de acuerdo a los datos disponibles, </w:t>
      </w:r>
      <w:r w:rsidRPr="001E237F">
        <w:rPr>
          <w:rFonts w:ascii="MinionPro-Regular" w:hAnsi="MinionPro-Regular"/>
          <w:sz w:val="24"/>
          <w:szCs w:val="24"/>
          <w:lang w:val="es-ES_tradnl"/>
        </w:rPr>
        <w:t xml:space="preserve">4.548 </w:t>
      </w:r>
      <w:r w:rsidRPr="00A05369">
        <w:rPr>
          <w:rFonts w:ascii="MinionPro-Regular" w:hAnsi="MinionPro-Regular"/>
          <w:sz w:val="24"/>
          <w:szCs w:val="24"/>
          <w:lang w:val="es-ES_tradnl"/>
        </w:rPr>
        <w:t>personas trabaja</w:t>
      </w:r>
      <w:r>
        <w:rPr>
          <w:rFonts w:ascii="MinionPro-Regular" w:hAnsi="MinionPro-Regular"/>
          <w:sz w:val="24"/>
          <w:szCs w:val="24"/>
          <w:lang w:val="es-ES_tradnl"/>
        </w:rPr>
        <w:t>ba</w:t>
      </w:r>
      <w:r w:rsidRPr="00A05369">
        <w:rPr>
          <w:rFonts w:ascii="MinionPro-Regular" w:hAnsi="MinionPro-Regular"/>
          <w:sz w:val="24"/>
          <w:szCs w:val="24"/>
          <w:lang w:val="es-ES_tradnl"/>
        </w:rPr>
        <w:t xml:space="preserve">n en </w:t>
      </w:r>
      <w:r w:rsidR="00E95BD1">
        <w:rPr>
          <w:rFonts w:ascii="MinionPro-Regular" w:hAnsi="MinionPro-Regular"/>
          <w:sz w:val="24"/>
          <w:szCs w:val="24"/>
          <w:lang w:val="es-ES_tradnl"/>
        </w:rPr>
        <w:t>centro</w:t>
      </w:r>
      <w:r w:rsidR="00263316">
        <w:rPr>
          <w:rFonts w:ascii="MinionPro-Regular" w:hAnsi="MinionPro-Regular"/>
          <w:sz w:val="24"/>
          <w:szCs w:val="24"/>
          <w:lang w:val="es-ES_tradnl"/>
        </w:rPr>
        <w:t>s</w:t>
      </w:r>
      <w:r w:rsidR="00E95BD1">
        <w:rPr>
          <w:rFonts w:ascii="MinionPro-Regular" w:hAnsi="MinionPro-Regular"/>
          <w:sz w:val="24"/>
          <w:szCs w:val="24"/>
          <w:lang w:val="es-ES_tradnl"/>
        </w:rPr>
        <w:t xml:space="preserve"> especiales de empleo</w:t>
      </w:r>
      <w:r>
        <w:rPr>
          <w:rFonts w:ascii="MinionPro-Regular" w:hAnsi="MinionPro-Regular"/>
          <w:sz w:val="24"/>
          <w:szCs w:val="24"/>
          <w:lang w:val="es-ES_tradnl"/>
        </w:rPr>
        <w:t>, siendo casi un 90%</w:t>
      </w:r>
      <w:r w:rsidRPr="00A05369">
        <w:rPr>
          <w:rFonts w:ascii="MinionPro-Regular" w:hAnsi="MinionPro-Regular"/>
          <w:sz w:val="24"/>
          <w:szCs w:val="24"/>
          <w:lang w:val="es-ES_tradnl"/>
        </w:rPr>
        <w:t xml:space="preserve"> </w:t>
      </w:r>
      <w:r>
        <w:rPr>
          <w:rFonts w:ascii="MinionPro-Regular" w:hAnsi="MinionPro-Regular"/>
          <w:sz w:val="24"/>
          <w:szCs w:val="24"/>
          <w:lang w:val="es-ES_tradnl"/>
        </w:rPr>
        <w:t xml:space="preserve">de ellas </w:t>
      </w:r>
      <w:r w:rsidR="00976470">
        <w:rPr>
          <w:rFonts w:ascii="MinionPro-Regular" w:hAnsi="MinionPro-Regular"/>
          <w:sz w:val="24"/>
          <w:szCs w:val="24"/>
          <w:lang w:val="es-ES_tradnl"/>
        </w:rPr>
        <w:t xml:space="preserve">(4.031) </w:t>
      </w:r>
      <w:r w:rsidRPr="00A05369">
        <w:rPr>
          <w:rFonts w:ascii="MinionPro-Regular" w:hAnsi="MinionPro-Regular"/>
          <w:sz w:val="24"/>
          <w:szCs w:val="24"/>
          <w:lang w:val="es-ES_tradnl"/>
        </w:rPr>
        <w:t>personas con discapacidad.</w:t>
      </w:r>
    </w:p>
    <w:p w:rsidR="005A10B4" w:rsidRDefault="005A10B4" w:rsidP="005A10B4">
      <w:pPr>
        <w:autoSpaceDE w:val="0"/>
        <w:autoSpaceDN w:val="0"/>
        <w:spacing w:line="360" w:lineRule="auto"/>
        <w:jc w:val="both"/>
        <w:rPr>
          <w:rFonts w:ascii="MinionPro-Regular" w:hAnsi="MinionPro-Regular"/>
          <w:sz w:val="24"/>
          <w:szCs w:val="24"/>
          <w:lang w:val="es-ES_tradnl"/>
        </w:rPr>
      </w:pPr>
    </w:p>
    <w:p w:rsidR="00976470" w:rsidRDefault="00976470" w:rsidP="009B6FC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Dado que el salario medio de las personas empleadas en </w:t>
      </w:r>
      <w:r w:rsidR="00EE4D65">
        <w:rPr>
          <w:rFonts w:ascii="MinionPro-Regular" w:hAnsi="MinionPro-Regular"/>
          <w:sz w:val="24"/>
          <w:szCs w:val="24"/>
          <w:lang w:val="es-ES_tradnl"/>
        </w:rPr>
        <w:t xml:space="preserve">centros especiales de empleo </w:t>
      </w:r>
      <w:r>
        <w:rPr>
          <w:rFonts w:ascii="MinionPro-Regular" w:hAnsi="MinionPro-Regular"/>
          <w:sz w:val="24"/>
          <w:szCs w:val="24"/>
          <w:lang w:val="es-ES_tradnl"/>
        </w:rPr>
        <w:t>de Castilla y León (sobre datos salariales de 2012) es de 16.920 euros</w:t>
      </w:r>
      <w:r w:rsidR="00E95BD1">
        <w:rPr>
          <w:rFonts w:ascii="MinionPro-Regular" w:hAnsi="MinionPro-Regular"/>
          <w:sz w:val="24"/>
          <w:szCs w:val="24"/>
          <w:lang w:val="es-ES_tradnl"/>
        </w:rPr>
        <w:t>, se deduce que los centro</w:t>
      </w:r>
      <w:r>
        <w:rPr>
          <w:rFonts w:ascii="MinionPro-Regular" w:hAnsi="MinionPro-Regular"/>
          <w:sz w:val="24"/>
          <w:szCs w:val="24"/>
          <w:lang w:val="es-ES_tradnl"/>
        </w:rPr>
        <w:t>s dest</w:t>
      </w:r>
      <w:r w:rsidR="00DC39D0">
        <w:rPr>
          <w:rFonts w:ascii="MinionPro-Regular" w:hAnsi="MinionPro-Regular"/>
          <w:sz w:val="24"/>
          <w:szCs w:val="24"/>
          <w:lang w:val="es-ES_tradnl"/>
        </w:rPr>
        <w:t>inaron, en 201</w:t>
      </w:r>
      <w:r w:rsidR="00EE4D65">
        <w:rPr>
          <w:rFonts w:ascii="MinionPro-Regular" w:hAnsi="MinionPro-Regular"/>
          <w:sz w:val="24"/>
          <w:szCs w:val="24"/>
          <w:lang w:val="es-ES_tradnl"/>
        </w:rPr>
        <w:t>2</w:t>
      </w:r>
      <w:r w:rsidR="00DC39D0">
        <w:rPr>
          <w:rFonts w:ascii="MinionPro-Regular" w:hAnsi="MinionPro-Regular"/>
          <w:sz w:val="24"/>
          <w:szCs w:val="24"/>
          <w:lang w:val="es-ES_tradnl"/>
        </w:rPr>
        <w:t>, alrededor de 76</w:t>
      </w:r>
      <w:r>
        <w:rPr>
          <w:rFonts w:ascii="MinionPro-Regular" w:hAnsi="MinionPro-Regular"/>
          <w:sz w:val="24"/>
          <w:szCs w:val="24"/>
          <w:lang w:val="es-ES_tradnl"/>
        </w:rPr>
        <w:t xml:space="preserve"> millones de euros en concepto de retribuciones a sus empleados con y sin discapacidad.</w:t>
      </w:r>
    </w:p>
    <w:p w:rsidR="00976470" w:rsidRDefault="00976470" w:rsidP="009B6FC8">
      <w:pPr>
        <w:autoSpaceDE w:val="0"/>
        <w:autoSpaceDN w:val="0"/>
        <w:spacing w:line="360" w:lineRule="auto"/>
        <w:jc w:val="both"/>
        <w:rPr>
          <w:rFonts w:ascii="MinionPro-Regular" w:hAnsi="MinionPro-Regular"/>
          <w:sz w:val="24"/>
          <w:szCs w:val="24"/>
          <w:lang w:val="es-ES_tradnl"/>
        </w:rPr>
      </w:pPr>
    </w:p>
    <w:p w:rsidR="00976470" w:rsidRDefault="00976470" w:rsidP="009B6FC8">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Si tenemos en cuenta el salario medio anual de las personas con discapacidad que se deduce de la MCVL (12.000 euros aproximadamente) y el de las personas sin discapacidad que se puede encontrar en el Instituto Nacional de Estadística (</w:t>
      </w:r>
      <w:r w:rsidRPr="00CF149F">
        <w:rPr>
          <w:rFonts w:ascii="MinionPro-Regular" w:hAnsi="MinionPro-Regular"/>
          <w:sz w:val="24"/>
          <w:szCs w:val="24"/>
          <w:lang w:val="es-ES_tradnl"/>
        </w:rPr>
        <w:t>22</w:t>
      </w:r>
      <w:r>
        <w:rPr>
          <w:rFonts w:ascii="MinionPro-Regular" w:hAnsi="MinionPro-Regular"/>
          <w:sz w:val="24"/>
          <w:szCs w:val="24"/>
          <w:lang w:val="es-ES_tradnl"/>
        </w:rPr>
        <w:t xml:space="preserve">.726 euros), se estima que por lo menos 48 millones de </w:t>
      </w:r>
      <w:r w:rsidR="00DC39D0">
        <w:rPr>
          <w:rFonts w:ascii="MinionPro-Regular" w:hAnsi="MinionPro-Regular"/>
          <w:sz w:val="24"/>
          <w:szCs w:val="24"/>
          <w:lang w:val="es-ES_tradnl"/>
        </w:rPr>
        <w:t>los 76</w:t>
      </w:r>
      <w:r>
        <w:rPr>
          <w:rFonts w:ascii="MinionPro-Regular" w:hAnsi="MinionPro-Regular"/>
          <w:sz w:val="24"/>
          <w:szCs w:val="24"/>
          <w:lang w:val="es-ES_tradnl"/>
        </w:rPr>
        <w:t xml:space="preserve"> millones de euros en gastos salariales fueron destinados al pago de salarios a personas con discapacidad</w:t>
      </w:r>
      <w:r w:rsidR="00FF429E">
        <w:rPr>
          <w:rFonts w:ascii="MinionPro-Regular" w:hAnsi="MinionPro-Regular"/>
          <w:sz w:val="24"/>
          <w:szCs w:val="24"/>
          <w:lang w:val="es-ES_tradnl"/>
        </w:rPr>
        <w:t>.</w:t>
      </w:r>
    </w:p>
    <w:p w:rsidR="009B6FC8" w:rsidRDefault="009B6FC8">
      <w:pPr>
        <w:pStyle w:val="Ttulo1"/>
        <w:rPr>
          <w:lang w:val="es-ES_tradnl"/>
        </w:rPr>
      </w:pPr>
      <w:bookmarkStart w:id="32" w:name="_Toc402805967"/>
      <w:bookmarkStart w:id="33" w:name="_Toc402872597"/>
      <w:bookmarkStart w:id="34" w:name="_Toc402883454"/>
      <w:bookmarkStart w:id="35" w:name="_Toc402883611"/>
      <w:bookmarkStart w:id="36" w:name="_Toc402884510"/>
      <w:bookmarkStart w:id="37" w:name="_Toc402805968"/>
      <w:bookmarkStart w:id="38" w:name="_Toc402872598"/>
      <w:bookmarkStart w:id="39" w:name="_Toc402883455"/>
      <w:bookmarkStart w:id="40" w:name="_Toc402883612"/>
      <w:bookmarkStart w:id="41" w:name="_Toc402884511"/>
      <w:bookmarkStart w:id="42" w:name="_Toc402805969"/>
      <w:bookmarkStart w:id="43" w:name="_Toc402872599"/>
      <w:bookmarkStart w:id="44" w:name="_Toc402883456"/>
      <w:bookmarkStart w:id="45" w:name="_Toc402883613"/>
      <w:bookmarkStart w:id="46" w:name="_Toc402884512"/>
      <w:bookmarkStart w:id="47" w:name="_Toc402805970"/>
      <w:bookmarkStart w:id="48" w:name="_Toc402872600"/>
      <w:bookmarkStart w:id="49" w:name="_Toc402883457"/>
      <w:bookmarkStart w:id="50" w:name="_Toc402883614"/>
      <w:bookmarkStart w:id="51" w:name="_Toc402884513"/>
      <w:bookmarkStart w:id="52" w:name="_Toc402805971"/>
      <w:bookmarkStart w:id="53" w:name="_Toc402872601"/>
      <w:bookmarkStart w:id="54" w:name="_Toc402883458"/>
      <w:bookmarkStart w:id="55" w:name="_Toc402883615"/>
      <w:bookmarkStart w:id="56" w:name="_Toc402884514"/>
      <w:bookmarkStart w:id="57" w:name="_Toc402805972"/>
      <w:bookmarkStart w:id="58" w:name="_Toc402872602"/>
      <w:bookmarkStart w:id="59" w:name="_Toc402883459"/>
      <w:bookmarkStart w:id="60" w:name="_Toc402883616"/>
      <w:bookmarkStart w:id="61" w:name="_Toc402884515"/>
      <w:bookmarkStart w:id="62" w:name="_Toc402805973"/>
      <w:bookmarkStart w:id="63" w:name="_Toc402872603"/>
      <w:bookmarkStart w:id="64" w:name="_Toc402883460"/>
      <w:bookmarkStart w:id="65" w:name="_Toc402883617"/>
      <w:bookmarkStart w:id="66" w:name="_Toc402884516"/>
      <w:bookmarkStart w:id="67" w:name="_Toc402805974"/>
      <w:bookmarkStart w:id="68" w:name="_Toc402872604"/>
      <w:bookmarkStart w:id="69" w:name="_Toc402883461"/>
      <w:bookmarkStart w:id="70" w:name="_Toc402883618"/>
      <w:bookmarkStart w:id="71" w:name="_Toc402884517"/>
      <w:bookmarkStart w:id="72" w:name="_Toc402805975"/>
      <w:bookmarkStart w:id="73" w:name="_Toc402872605"/>
      <w:bookmarkStart w:id="74" w:name="_Toc402883462"/>
      <w:bookmarkStart w:id="75" w:name="_Toc402883619"/>
      <w:bookmarkStart w:id="76" w:name="_Toc402884518"/>
      <w:bookmarkStart w:id="77" w:name="_Toc402805976"/>
      <w:bookmarkStart w:id="78" w:name="_Toc402872606"/>
      <w:bookmarkStart w:id="79" w:name="_Toc402883463"/>
      <w:bookmarkStart w:id="80" w:name="_Toc402883620"/>
      <w:bookmarkStart w:id="81" w:name="_Toc402884519"/>
      <w:bookmarkStart w:id="82" w:name="_Toc402805977"/>
      <w:bookmarkStart w:id="83" w:name="_Toc402872607"/>
      <w:bookmarkStart w:id="84" w:name="_Toc402883464"/>
      <w:bookmarkStart w:id="85" w:name="_Toc402883621"/>
      <w:bookmarkStart w:id="86" w:name="_Toc402884520"/>
      <w:bookmarkStart w:id="87" w:name="_Toc402805978"/>
      <w:bookmarkStart w:id="88" w:name="_Toc402872608"/>
      <w:bookmarkStart w:id="89" w:name="_Toc402883465"/>
      <w:bookmarkStart w:id="90" w:name="_Toc402883622"/>
      <w:bookmarkStart w:id="91" w:name="_Toc402884521"/>
      <w:bookmarkStart w:id="92" w:name="_Toc402805979"/>
      <w:bookmarkStart w:id="93" w:name="_Toc402872609"/>
      <w:bookmarkStart w:id="94" w:name="_Toc402883466"/>
      <w:bookmarkStart w:id="95" w:name="_Toc402883623"/>
      <w:bookmarkStart w:id="96" w:name="_Toc402884522"/>
      <w:bookmarkStart w:id="97" w:name="_Toc402805981"/>
      <w:bookmarkStart w:id="98" w:name="_Toc402872611"/>
      <w:bookmarkStart w:id="99" w:name="_Toc402883468"/>
      <w:bookmarkStart w:id="100" w:name="_Toc402883625"/>
      <w:bookmarkStart w:id="101" w:name="_Toc402884524"/>
      <w:bookmarkStart w:id="102" w:name="_Toc402805982"/>
      <w:bookmarkStart w:id="103" w:name="_Toc402872612"/>
      <w:bookmarkStart w:id="104" w:name="_Toc402883469"/>
      <w:bookmarkStart w:id="105" w:name="_Toc402883626"/>
      <w:bookmarkStart w:id="106" w:name="_Toc402884525"/>
      <w:bookmarkStart w:id="107" w:name="_Toc402805983"/>
      <w:bookmarkStart w:id="108" w:name="_Toc402872613"/>
      <w:bookmarkStart w:id="109" w:name="_Toc402883470"/>
      <w:bookmarkStart w:id="110" w:name="_Toc402883627"/>
      <w:bookmarkStart w:id="111" w:name="_Toc402884526"/>
      <w:bookmarkStart w:id="112" w:name="_Toc402805985"/>
      <w:bookmarkStart w:id="113" w:name="_Toc402872615"/>
      <w:bookmarkStart w:id="114" w:name="_Toc402883472"/>
      <w:bookmarkStart w:id="115" w:name="_Toc402883629"/>
      <w:bookmarkStart w:id="116" w:name="_Toc402884528"/>
      <w:bookmarkStart w:id="117" w:name="_Toc402805987"/>
      <w:bookmarkStart w:id="118" w:name="_Toc402872617"/>
      <w:bookmarkStart w:id="119" w:name="_Toc402883474"/>
      <w:bookmarkStart w:id="120" w:name="_Toc402883631"/>
      <w:bookmarkStart w:id="121" w:name="_Toc402884530"/>
      <w:bookmarkStart w:id="122" w:name="_Toc402805988"/>
      <w:bookmarkStart w:id="123" w:name="_Toc402872618"/>
      <w:bookmarkStart w:id="124" w:name="_Toc402883475"/>
      <w:bookmarkStart w:id="125" w:name="_Toc402883632"/>
      <w:bookmarkStart w:id="126" w:name="_Toc402884531"/>
      <w:bookmarkStart w:id="127" w:name="_Toc402805989"/>
      <w:bookmarkStart w:id="128" w:name="_Toc402872619"/>
      <w:bookmarkStart w:id="129" w:name="_Toc402883476"/>
      <w:bookmarkStart w:id="130" w:name="_Toc402883633"/>
      <w:bookmarkStart w:id="131" w:name="_Toc402884532"/>
      <w:bookmarkStart w:id="132" w:name="_Toc402805991"/>
      <w:bookmarkStart w:id="133" w:name="_Toc402872621"/>
      <w:bookmarkStart w:id="134" w:name="_Toc402883478"/>
      <w:bookmarkStart w:id="135" w:name="_Toc402883635"/>
      <w:bookmarkStart w:id="136" w:name="_Toc402884534"/>
      <w:bookmarkStart w:id="137" w:name="_Toc402805992"/>
      <w:bookmarkStart w:id="138" w:name="_Toc402872622"/>
      <w:bookmarkStart w:id="139" w:name="_Toc402883479"/>
      <w:bookmarkStart w:id="140" w:name="_Toc402883636"/>
      <w:bookmarkStart w:id="141" w:name="_Toc402884535"/>
      <w:bookmarkStart w:id="142" w:name="_Toc402806007"/>
      <w:bookmarkStart w:id="143" w:name="_Toc402872637"/>
      <w:bookmarkStart w:id="144" w:name="_Toc402883494"/>
      <w:bookmarkStart w:id="145" w:name="_Toc402883651"/>
      <w:bookmarkStart w:id="146" w:name="_Toc402884550"/>
      <w:bookmarkStart w:id="147" w:name="_Toc402806012"/>
      <w:bookmarkStart w:id="148" w:name="_Toc402872642"/>
      <w:bookmarkStart w:id="149" w:name="_Toc402883499"/>
      <w:bookmarkStart w:id="150" w:name="_Toc402883656"/>
      <w:bookmarkStart w:id="151" w:name="_Toc402884555"/>
      <w:bookmarkStart w:id="152" w:name="_Toc402806024"/>
      <w:bookmarkStart w:id="153" w:name="_Toc402872654"/>
      <w:bookmarkStart w:id="154" w:name="_Toc402883511"/>
      <w:bookmarkStart w:id="155" w:name="_Toc402883668"/>
      <w:bookmarkStart w:id="156" w:name="_Toc402884567"/>
      <w:bookmarkStart w:id="157" w:name="_Toc402806029"/>
      <w:bookmarkStart w:id="158" w:name="_Toc402872659"/>
      <w:bookmarkStart w:id="159" w:name="_Toc402883516"/>
      <w:bookmarkStart w:id="160" w:name="_Toc402883673"/>
      <w:bookmarkStart w:id="161" w:name="_Toc402884572"/>
      <w:bookmarkStart w:id="162" w:name="_Toc402806034"/>
      <w:bookmarkStart w:id="163" w:name="_Toc402872664"/>
      <w:bookmarkStart w:id="164" w:name="_Toc402883521"/>
      <w:bookmarkStart w:id="165" w:name="_Toc402883678"/>
      <w:bookmarkStart w:id="166" w:name="_Toc402884577"/>
      <w:bookmarkStart w:id="167" w:name="_Toc402806039"/>
      <w:bookmarkStart w:id="168" w:name="_Toc402872669"/>
      <w:bookmarkStart w:id="169" w:name="_Toc402883526"/>
      <w:bookmarkStart w:id="170" w:name="_Toc402883683"/>
      <w:bookmarkStart w:id="171" w:name="_Toc402884582"/>
      <w:bookmarkStart w:id="172" w:name="_Toc402806049"/>
      <w:bookmarkStart w:id="173" w:name="_Toc402872679"/>
      <w:bookmarkStart w:id="174" w:name="_Toc402883536"/>
      <w:bookmarkStart w:id="175" w:name="_Toc402883693"/>
      <w:bookmarkStart w:id="176" w:name="_Toc402884592"/>
      <w:bookmarkStart w:id="177" w:name="_Toc402806050"/>
      <w:bookmarkStart w:id="178" w:name="_Toc402872680"/>
      <w:bookmarkStart w:id="179" w:name="_Toc402883537"/>
      <w:bookmarkStart w:id="180" w:name="_Toc402883694"/>
      <w:bookmarkStart w:id="181" w:name="_Toc402884593"/>
      <w:bookmarkStart w:id="182" w:name="_Toc402806051"/>
      <w:bookmarkStart w:id="183" w:name="_Toc402872681"/>
      <w:bookmarkStart w:id="184" w:name="_Toc402883538"/>
      <w:bookmarkStart w:id="185" w:name="_Toc402883695"/>
      <w:bookmarkStart w:id="186" w:name="_Toc402884594"/>
      <w:bookmarkStart w:id="187" w:name="_Toc402806052"/>
      <w:bookmarkStart w:id="188" w:name="_Toc402872682"/>
      <w:bookmarkStart w:id="189" w:name="_Toc402883539"/>
      <w:bookmarkStart w:id="190" w:name="_Toc402883696"/>
      <w:bookmarkStart w:id="191" w:name="_Toc402884595"/>
      <w:bookmarkStart w:id="192" w:name="_Toc402806053"/>
      <w:bookmarkStart w:id="193" w:name="_Toc402872683"/>
      <w:bookmarkStart w:id="194" w:name="_Toc402883540"/>
      <w:bookmarkStart w:id="195" w:name="_Toc402883697"/>
      <w:bookmarkStart w:id="196" w:name="_Toc402884596"/>
      <w:bookmarkStart w:id="197" w:name="_Toc402806054"/>
      <w:bookmarkStart w:id="198" w:name="_Toc402872684"/>
      <w:bookmarkStart w:id="199" w:name="_Toc402883541"/>
      <w:bookmarkStart w:id="200" w:name="_Toc402883698"/>
      <w:bookmarkStart w:id="201" w:name="_Toc402884597"/>
      <w:bookmarkStart w:id="202" w:name="_Toc402806055"/>
      <w:bookmarkStart w:id="203" w:name="_Toc402872685"/>
      <w:bookmarkStart w:id="204" w:name="_Toc402883542"/>
      <w:bookmarkStart w:id="205" w:name="_Toc402883699"/>
      <w:bookmarkStart w:id="206" w:name="_Toc402884598"/>
      <w:bookmarkStart w:id="207" w:name="_Toc402806056"/>
      <w:bookmarkStart w:id="208" w:name="_Toc402872686"/>
      <w:bookmarkStart w:id="209" w:name="_Toc402883543"/>
      <w:bookmarkStart w:id="210" w:name="_Toc402883700"/>
      <w:bookmarkStart w:id="211" w:name="_Toc402884599"/>
      <w:bookmarkStart w:id="212" w:name="_Toc402806058"/>
      <w:bookmarkStart w:id="213" w:name="_Toc402872688"/>
      <w:bookmarkStart w:id="214" w:name="_Toc402883545"/>
      <w:bookmarkStart w:id="215" w:name="_Toc402883702"/>
      <w:bookmarkStart w:id="216" w:name="_Toc402884601"/>
      <w:bookmarkStart w:id="217" w:name="_Toc352773540"/>
      <w:bookmarkStart w:id="218" w:name="_Toc397357142"/>
      <w:bookmarkStart w:id="219" w:name="_Toc41091686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BE20A7">
        <w:rPr>
          <w:lang w:val="es-ES_tradnl"/>
        </w:rPr>
        <w:lastRenderedPageBreak/>
        <w:t xml:space="preserve">Los </w:t>
      </w:r>
      <w:r w:rsidR="00263316">
        <w:rPr>
          <w:lang w:val="es-ES_tradnl"/>
        </w:rPr>
        <w:t>Centros Especiales de Empleo</w:t>
      </w:r>
      <w:r w:rsidRPr="00BE20A7">
        <w:rPr>
          <w:lang w:val="es-ES_tradnl"/>
        </w:rPr>
        <w:t xml:space="preserve"> de Castilla y León, un caso de éxito</w:t>
      </w:r>
      <w:bookmarkEnd w:id="217"/>
      <w:bookmarkEnd w:id="218"/>
      <w:bookmarkEnd w:id="219"/>
    </w:p>
    <w:p w:rsidR="009B6FC8" w:rsidRPr="00BE20A7" w:rsidRDefault="009B6FC8" w:rsidP="009B6FC8">
      <w:pPr>
        <w:autoSpaceDE w:val="0"/>
        <w:autoSpaceDN w:val="0"/>
        <w:spacing w:line="360" w:lineRule="auto"/>
        <w:ind w:left="57"/>
        <w:jc w:val="both"/>
        <w:rPr>
          <w:sz w:val="24"/>
          <w:szCs w:val="24"/>
          <w:lang w:val="es-ES_tradnl"/>
        </w:rPr>
      </w:pPr>
    </w:p>
    <w:p w:rsidR="00344991" w:rsidRDefault="009B6FC8" w:rsidP="00EE08D5">
      <w:pPr>
        <w:autoSpaceDE w:val="0"/>
        <w:autoSpaceDN w:val="0"/>
        <w:spacing w:line="360" w:lineRule="auto"/>
        <w:ind w:left="57"/>
        <w:jc w:val="both"/>
        <w:rPr>
          <w:sz w:val="24"/>
          <w:szCs w:val="24"/>
          <w:lang w:val="es-ES_tradnl"/>
        </w:rPr>
      </w:pPr>
      <w:r w:rsidRPr="00BE20A7">
        <w:rPr>
          <w:sz w:val="24"/>
          <w:szCs w:val="24"/>
          <w:lang w:val="es-ES_tradnl"/>
        </w:rPr>
        <w:t xml:space="preserve">Los </w:t>
      </w:r>
      <w:r w:rsidR="00E95BD1">
        <w:rPr>
          <w:sz w:val="24"/>
          <w:szCs w:val="24"/>
          <w:lang w:val="es-ES_tradnl"/>
        </w:rPr>
        <w:t>centros especiale</w:t>
      </w:r>
      <w:r w:rsidR="00263316">
        <w:rPr>
          <w:sz w:val="24"/>
          <w:szCs w:val="24"/>
          <w:lang w:val="es-ES_tradnl"/>
        </w:rPr>
        <w:t>s</w:t>
      </w:r>
      <w:r w:rsidRPr="00BE20A7">
        <w:rPr>
          <w:sz w:val="24"/>
          <w:szCs w:val="24"/>
          <w:lang w:val="es-ES_tradnl"/>
        </w:rPr>
        <w:t xml:space="preserve"> </w:t>
      </w:r>
      <w:r w:rsidR="00E95BD1">
        <w:rPr>
          <w:sz w:val="24"/>
          <w:szCs w:val="24"/>
          <w:lang w:val="es-ES_tradnl"/>
        </w:rPr>
        <w:t xml:space="preserve">de empleo </w:t>
      </w:r>
      <w:r w:rsidRPr="00BE20A7">
        <w:rPr>
          <w:sz w:val="24"/>
          <w:szCs w:val="24"/>
          <w:lang w:val="es-ES_tradnl"/>
        </w:rPr>
        <w:t xml:space="preserve">de Castilla y León constituyen un caso de éxito en la integración laboral de personas con discapacidad, especialmente dado el volumen de empleo generado, la apuesta por el empleo de personas con especiales dificultades de empleabilidad y la estabilidad laboral que ofrecen incluso en un contexto de dificultades económicas.  El acceso de las personas con discapacidad de Castilla y León al pleno ejercicio de sus derechos económicos es inconcebible sin los </w:t>
      </w:r>
      <w:r w:rsidR="00E95BD1">
        <w:rPr>
          <w:sz w:val="24"/>
          <w:szCs w:val="24"/>
          <w:lang w:val="es-ES_tradnl"/>
        </w:rPr>
        <w:t>centro</w:t>
      </w:r>
      <w:r w:rsidR="00263316">
        <w:rPr>
          <w:sz w:val="24"/>
          <w:szCs w:val="24"/>
          <w:lang w:val="es-ES_tradnl"/>
        </w:rPr>
        <w:t>s</w:t>
      </w:r>
      <w:r w:rsidR="00E95BD1">
        <w:rPr>
          <w:sz w:val="24"/>
          <w:szCs w:val="24"/>
          <w:lang w:val="es-ES_tradnl"/>
        </w:rPr>
        <w:t xml:space="preserve"> especiales de empleo</w:t>
      </w:r>
      <w:r w:rsidRPr="00BE20A7">
        <w:rPr>
          <w:sz w:val="24"/>
          <w:szCs w:val="24"/>
          <w:lang w:val="es-ES_tradnl"/>
        </w:rPr>
        <w:t>, que cuentan con una plantilla global de más de 4</w:t>
      </w:r>
      <w:r>
        <w:rPr>
          <w:sz w:val="24"/>
          <w:szCs w:val="24"/>
          <w:lang w:val="es-ES_tradnl"/>
        </w:rPr>
        <w:t>.</w:t>
      </w:r>
      <w:r w:rsidRPr="00BE20A7">
        <w:rPr>
          <w:sz w:val="24"/>
          <w:szCs w:val="24"/>
          <w:lang w:val="es-ES_tradnl"/>
        </w:rPr>
        <w:t xml:space="preserve">000 </w:t>
      </w:r>
      <w:r>
        <w:rPr>
          <w:sz w:val="24"/>
          <w:szCs w:val="24"/>
          <w:lang w:val="es-ES_tradnl"/>
        </w:rPr>
        <w:t>personas</w:t>
      </w:r>
      <w:r w:rsidRPr="00BE20A7">
        <w:rPr>
          <w:sz w:val="24"/>
          <w:szCs w:val="24"/>
          <w:lang w:val="es-ES_tradnl"/>
        </w:rPr>
        <w:t xml:space="preserve">, y un desembolso anual en salarios a personas con discapacidad de </w:t>
      </w:r>
      <w:r w:rsidR="00141260">
        <w:rPr>
          <w:sz w:val="24"/>
          <w:szCs w:val="24"/>
          <w:lang w:val="es-ES_tradnl"/>
        </w:rPr>
        <w:t xml:space="preserve">más </w:t>
      </w:r>
      <w:r w:rsidR="00141260" w:rsidRPr="00713D81">
        <w:rPr>
          <w:sz w:val="24"/>
          <w:szCs w:val="24"/>
          <w:lang w:val="es-ES_tradnl"/>
        </w:rPr>
        <w:t>de 48 millones de euros.</w:t>
      </w:r>
      <w:r w:rsidR="00A010D2">
        <w:rPr>
          <w:sz w:val="24"/>
          <w:szCs w:val="24"/>
          <w:lang w:val="es-ES_tradnl"/>
        </w:rPr>
        <w:t xml:space="preserve"> </w:t>
      </w:r>
    </w:p>
    <w:p w:rsidR="00344991" w:rsidRDefault="00344991">
      <w:pPr>
        <w:autoSpaceDE w:val="0"/>
        <w:autoSpaceDN w:val="0"/>
        <w:spacing w:line="360" w:lineRule="auto"/>
        <w:ind w:left="57"/>
        <w:jc w:val="both"/>
        <w:rPr>
          <w:sz w:val="24"/>
          <w:szCs w:val="24"/>
          <w:lang w:val="es-ES_tradnl"/>
        </w:rPr>
      </w:pPr>
    </w:p>
    <w:p w:rsidR="00344991" w:rsidRDefault="00344991" w:rsidP="00344991">
      <w:pPr>
        <w:autoSpaceDE w:val="0"/>
        <w:autoSpaceDN w:val="0"/>
        <w:spacing w:line="360" w:lineRule="auto"/>
        <w:ind w:left="57"/>
        <w:jc w:val="both"/>
        <w:rPr>
          <w:sz w:val="24"/>
          <w:szCs w:val="24"/>
          <w:lang w:val="es-ES_tradnl"/>
        </w:rPr>
      </w:pPr>
      <w:r>
        <w:rPr>
          <w:sz w:val="24"/>
          <w:szCs w:val="24"/>
          <w:lang w:val="es-ES_tradnl"/>
        </w:rPr>
        <w:t xml:space="preserve">Las alrededor de 4.000 personas con discapacidad empleadas en centros especiales de empleo de Castilla y León representan aproximadamente </w:t>
      </w:r>
      <w:r w:rsidR="00EE08D5">
        <w:rPr>
          <w:sz w:val="24"/>
          <w:szCs w:val="24"/>
          <w:lang w:val="es-ES_tradnl"/>
        </w:rPr>
        <w:t>un 14</w:t>
      </w:r>
      <w:r>
        <w:rPr>
          <w:sz w:val="24"/>
          <w:szCs w:val="24"/>
          <w:lang w:val="es-ES_tradnl"/>
        </w:rPr>
        <w:t xml:space="preserve">% del total de </w:t>
      </w:r>
      <w:r w:rsidRPr="00344991">
        <w:rPr>
          <w:sz w:val="24"/>
          <w:szCs w:val="24"/>
          <w:lang w:val="es-ES_tradnl"/>
        </w:rPr>
        <w:t>29.600</w:t>
      </w:r>
      <w:r>
        <w:rPr>
          <w:rFonts w:ascii="Arial" w:hAnsi="Arial" w:cs="Arial"/>
          <w:sz w:val="24"/>
          <w:szCs w:val="24"/>
          <w:lang w:eastAsia="en-AU"/>
        </w:rPr>
        <w:t xml:space="preserve"> </w:t>
      </w:r>
      <w:r>
        <w:rPr>
          <w:sz w:val="24"/>
          <w:szCs w:val="24"/>
          <w:lang w:val="es-ES_tradnl"/>
        </w:rPr>
        <w:t>personas con discapacidad activas en Castilla y León, a fecha de 2012.</w:t>
      </w:r>
      <w:r>
        <w:rPr>
          <w:rStyle w:val="Refdenotaalpie"/>
          <w:sz w:val="24"/>
          <w:szCs w:val="24"/>
          <w:lang w:val="es-ES_tradnl"/>
        </w:rPr>
        <w:footnoteReference w:id="3"/>
      </w:r>
      <w:r>
        <w:rPr>
          <w:sz w:val="24"/>
          <w:szCs w:val="24"/>
          <w:lang w:val="es-ES_tradnl"/>
        </w:rPr>
        <w:t xml:space="preserve"> En España, de las </w:t>
      </w:r>
      <w:r w:rsidRPr="00344991">
        <w:rPr>
          <w:sz w:val="24"/>
          <w:szCs w:val="24"/>
          <w:lang w:val="es-ES_tradnl"/>
        </w:rPr>
        <w:t xml:space="preserve">531.600 </w:t>
      </w:r>
      <w:r w:rsidRPr="00322418">
        <w:rPr>
          <w:sz w:val="24"/>
          <w:szCs w:val="24"/>
          <w:lang w:val="es-ES_tradnl"/>
        </w:rPr>
        <w:t xml:space="preserve">personas con discapacidad </w:t>
      </w:r>
      <w:r>
        <w:rPr>
          <w:sz w:val="24"/>
          <w:szCs w:val="24"/>
          <w:lang w:val="es-ES_tradnl"/>
        </w:rPr>
        <w:t>activas</w:t>
      </w:r>
      <w:r w:rsidR="0036088A">
        <w:rPr>
          <w:sz w:val="24"/>
          <w:szCs w:val="24"/>
          <w:lang w:val="es-ES_tradnl"/>
        </w:rPr>
        <w:t xml:space="preserve"> en 2012, 355.500</w:t>
      </w:r>
      <w:r w:rsidRPr="00322418">
        <w:rPr>
          <w:sz w:val="24"/>
          <w:szCs w:val="24"/>
          <w:lang w:val="es-ES_tradnl"/>
        </w:rPr>
        <w:t xml:space="preserve"> de ellas estaban ocup</w:t>
      </w:r>
      <w:r w:rsidR="0036088A">
        <w:rPr>
          <w:sz w:val="24"/>
          <w:szCs w:val="24"/>
          <w:lang w:val="es-ES_tradnl"/>
        </w:rPr>
        <w:t>adas, lo que representa un 67</w:t>
      </w:r>
      <w:r>
        <w:rPr>
          <w:sz w:val="24"/>
          <w:szCs w:val="24"/>
          <w:lang w:val="es-ES_tradnl"/>
        </w:rPr>
        <w:t>% aproximadamente</w:t>
      </w:r>
      <w:r w:rsidRPr="00322418">
        <w:rPr>
          <w:sz w:val="24"/>
          <w:szCs w:val="24"/>
          <w:lang w:val="es-ES_tradnl"/>
        </w:rPr>
        <w:t>.</w:t>
      </w:r>
      <w:r>
        <w:rPr>
          <w:rStyle w:val="Refdenotaalpie"/>
          <w:sz w:val="24"/>
          <w:szCs w:val="24"/>
          <w:lang w:val="es-ES_tradnl"/>
        </w:rPr>
        <w:footnoteReference w:id="4"/>
      </w:r>
      <w:r>
        <w:rPr>
          <w:sz w:val="24"/>
          <w:szCs w:val="24"/>
          <w:lang w:val="es-ES_tradnl"/>
        </w:rPr>
        <w:t xml:space="preserve"> </w:t>
      </w:r>
      <w:r w:rsidRPr="00322418">
        <w:rPr>
          <w:sz w:val="24"/>
          <w:szCs w:val="24"/>
          <w:lang w:val="es-ES_tradnl"/>
        </w:rPr>
        <w:t>Si extrapolamos ese ratio de personas con discapacidad empleadas sobre las personas con discapacidad activas a la población de Castilla y León, encontr</w:t>
      </w:r>
      <w:r w:rsidR="0036088A">
        <w:rPr>
          <w:sz w:val="24"/>
          <w:szCs w:val="24"/>
          <w:lang w:val="es-ES_tradnl"/>
        </w:rPr>
        <w:t>aríamos una aproximación de 19.794</w:t>
      </w:r>
      <w:r w:rsidR="00FD7EDD">
        <w:rPr>
          <w:sz w:val="24"/>
          <w:szCs w:val="24"/>
          <w:lang w:val="es-ES_tradnl"/>
        </w:rPr>
        <w:t xml:space="preserve"> personas con discapacidad ocupadas</w:t>
      </w:r>
      <w:r w:rsidRPr="00322418">
        <w:rPr>
          <w:sz w:val="24"/>
          <w:szCs w:val="24"/>
          <w:lang w:val="es-ES_tradnl"/>
        </w:rPr>
        <w:t xml:space="preserve"> en Castilla y León. Tomando esa base, el número de personas con discapacidad empleadas en </w:t>
      </w:r>
      <w:r>
        <w:rPr>
          <w:sz w:val="24"/>
          <w:szCs w:val="24"/>
          <w:lang w:val="es-ES_tradnl"/>
        </w:rPr>
        <w:t>centros especiales de empleo</w:t>
      </w:r>
      <w:r w:rsidRPr="00322418">
        <w:rPr>
          <w:sz w:val="24"/>
          <w:szCs w:val="24"/>
          <w:lang w:val="es-ES_tradnl"/>
        </w:rPr>
        <w:t xml:space="preserve"> de Castilla y León </w:t>
      </w:r>
      <w:r w:rsidR="0036088A">
        <w:rPr>
          <w:sz w:val="24"/>
          <w:szCs w:val="24"/>
          <w:lang w:val="es-ES_tradnl"/>
        </w:rPr>
        <w:t>representaría alrededor de un 20</w:t>
      </w:r>
      <w:r w:rsidRPr="00322418">
        <w:rPr>
          <w:sz w:val="24"/>
          <w:szCs w:val="24"/>
          <w:lang w:val="es-ES_tradnl"/>
        </w:rPr>
        <w:t>% de las personas con discapacidad empleadas en la Comunidad Autónoma, un porcentaje muy significativo.</w:t>
      </w:r>
      <w:r w:rsidR="0036088A">
        <w:rPr>
          <w:sz w:val="24"/>
          <w:szCs w:val="24"/>
          <w:lang w:val="es-ES_tradnl"/>
        </w:rPr>
        <w:t xml:space="preserve"> </w:t>
      </w:r>
    </w:p>
    <w:p w:rsidR="00A47882" w:rsidRDefault="00A47882">
      <w:pPr>
        <w:autoSpaceDE w:val="0"/>
        <w:autoSpaceDN w:val="0"/>
        <w:spacing w:line="360" w:lineRule="auto"/>
        <w:ind w:left="57"/>
        <w:jc w:val="both"/>
        <w:rPr>
          <w:sz w:val="24"/>
          <w:szCs w:val="24"/>
          <w:lang w:val="es-ES_tradnl"/>
        </w:rPr>
      </w:pPr>
    </w:p>
    <w:p w:rsidR="00A47882" w:rsidRDefault="00A47882">
      <w:pPr>
        <w:autoSpaceDE w:val="0"/>
        <w:autoSpaceDN w:val="0"/>
        <w:spacing w:line="360" w:lineRule="auto"/>
        <w:ind w:left="57"/>
        <w:jc w:val="both"/>
        <w:rPr>
          <w:sz w:val="24"/>
          <w:szCs w:val="24"/>
          <w:lang w:val="es-ES_tradnl"/>
        </w:rPr>
      </w:pPr>
    </w:p>
    <w:p w:rsidR="00A47882" w:rsidRDefault="00A47882">
      <w:pPr>
        <w:autoSpaceDE w:val="0"/>
        <w:autoSpaceDN w:val="0"/>
        <w:spacing w:line="360" w:lineRule="auto"/>
        <w:ind w:left="57"/>
        <w:jc w:val="both"/>
        <w:rPr>
          <w:sz w:val="24"/>
          <w:szCs w:val="24"/>
          <w:lang w:val="es-ES_tradnl"/>
        </w:rPr>
      </w:pPr>
    </w:p>
    <w:p w:rsidR="00A47882" w:rsidRDefault="00A47882">
      <w:pPr>
        <w:autoSpaceDE w:val="0"/>
        <w:autoSpaceDN w:val="0"/>
        <w:spacing w:line="360" w:lineRule="auto"/>
        <w:ind w:left="57"/>
        <w:jc w:val="both"/>
        <w:rPr>
          <w:sz w:val="24"/>
          <w:szCs w:val="24"/>
          <w:lang w:val="es-ES_tradnl"/>
        </w:rPr>
      </w:pPr>
    </w:p>
    <w:p w:rsidR="00A47882" w:rsidRDefault="00A47882">
      <w:pPr>
        <w:autoSpaceDE w:val="0"/>
        <w:autoSpaceDN w:val="0"/>
        <w:spacing w:line="360" w:lineRule="auto"/>
        <w:ind w:left="57"/>
        <w:jc w:val="both"/>
        <w:rPr>
          <w:sz w:val="24"/>
          <w:szCs w:val="24"/>
          <w:lang w:val="es-ES_tradnl"/>
        </w:rPr>
      </w:pPr>
    </w:p>
    <w:p w:rsidR="00B96C5A" w:rsidRPr="00842404" w:rsidRDefault="00B96C5A">
      <w:pPr>
        <w:autoSpaceDE w:val="0"/>
        <w:autoSpaceDN w:val="0"/>
        <w:spacing w:line="360" w:lineRule="auto"/>
        <w:ind w:left="57"/>
        <w:jc w:val="both"/>
        <w:rPr>
          <w:b/>
          <w:sz w:val="24"/>
          <w:szCs w:val="24"/>
          <w:lang w:val="es-ES_tradnl"/>
        </w:rPr>
      </w:pPr>
      <w:r w:rsidRPr="00842404">
        <w:rPr>
          <w:b/>
          <w:sz w:val="24"/>
          <w:szCs w:val="24"/>
          <w:lang w:val="es-ES_tradnl"/>
        </w:rPr>
        <w:t>Evolución de los CEEs de Castilla y León desde el momento de la transferencia de competencias de los mismos a la Junta de Castilla y León</w:t>
      </w:r>
      <w:r w:rsidR="00A47882" w:rsidRPr="00842404">
        <w:rPr>
          <w:b/>
          <w:sz w:val="24"/>
          <w:szCs w:val="24"/>
          <w:lang w:val="es-ES_tradnl"/>
        </w:rPr>
        <w:t xml:space="preserve"> hasta 2013</w:t>
      </w:r>
      <w:r w:rsidRPr="00842404">
        <w:rPr>
          <w:b/>
          <w:sz w:val="24"/>
          <w:szCs w:val="24"/>
          <w:lang w:val="es-ES_tradnl"/>
        </w:rPr>
        <w:t>:</w:t>
      </w:r>
    </w:p>
    <w:p w:rsidR="00320C35" w:rsidRPr="007273CB" w:rsidRDefault="00320C35" w:rsidP="00842404">
      <w:pPr>
        <w:autoSpaceDE w:val="0"/>
        <w:autoSpaceDN w:val="0"/>
        <w:spacing w:line="360" w:lineRule="auto"/>
        <w:ind w:left="142"/>
        <w:jc w:val="both"/>
        <w:rPr>
          <w:sz w:val="18"/>
          <w:szCs w:val="18"/>
          <w:lang w:val="es-ES_tradnl"/>
        </w:rPr>
      </w:pPr>
      <w:r w:rsidRPr="007273CB">
        <w:rPr>
          <w:sz w:val="18"/>
          <w:szCs w:val="18"/>
          <w:lang w:val="es-ES_tradnl"/>
        </w:rPr>
        <w:t>Fuente: Junta de Castilla y León</w:t>
      </w:r>
    </w:p>
    <w:p w:rsidR="0066132E" w:rsidRDefault="00320C35" w:rsidP="00842404">
      <w:pPr>
        <w:autoSpaceDE w:val="0"/>
        <w:autoSpaceDN w:val="0"/>
        <w:spacing w:line="360" w:lineRule="auto"/>
        <w:jc w:val="both"/>
        <w:rPr>
          <w:sz w:val="24"/>
          <w:szCs w:val="24"/>
          <w:lang w:val="es-ES_tradnl"/>
        </w:rPr>
      </w:pPr>
      <w:r>
        <w:rPr>
          <w:sz w:val="24"/>
          <w:szCs w:val="24"/>
          <w:lang w:val="es-ES_tradnl"/>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tblPr>
      <w:tblGrid>
        <w:gridCol w:w="1687"/>
        <w:gridCol w:w="1687"/>
        <w:gridCol w:w="1688"/>
      </w:tblGrid>
      <w:tr w:rsidR="00A47882" w:rsidTr="00842404">
        <w:trPr>
          <w:jc w:val="center"/>
        </w:trPr>
        <w:tc>
          <w:tcPr>
            <w:tcW w:w="1687" w:type="dxa"/>
            <w:vAlign w:val="center"/>
          </w:tcPr>
          <w:p w:rsidR="00A47882" w:rsidRPr="00842404" w:rsidRDefault="00A47882" w:rsidP="00A47882">
            <w:pPr>
              <w:autoSpaceDE w:val="0"/>
              <w:autoSpaceDN w:val="0"/>
              <w:spacing w:line="360" w:lineRule="auto"/>
              <w:jc w:val="center"/>
              <w:rPr>
                <w:b/>
                <w:bCs/>
                <w:color w:val="215967"/>
                <w:sz w:val="20"/>
              </w:rPr>
            </w:pPr>
          </w:p>
        </w:tc>
        <w:tc>
          <w:tcPr>
            <w:tcW w:w="1687" w:type="dxa"/>
            <w:vAlign w:val="center"/>
          </w:tcPr>
          <w:p w:rsidR="00A47882" w:rsidRPr="00842404" w:rsidRDefault="00A47882" w:rsidP="00A47882">
            <w:pPr>
              <w:autoSpaceDE w:val="0"/>
              <w:autoSpaceDN w:val="0"/>
              <w:spacing w:line="360" w:lineRule="auto"/>
              <w:jc w:val="center"/>
              <w:rPr>
                <w:b/>
                <w:bCs/>
                <w:color w:val="215967"/>
                <w:sz w:val="20"/>
              </w:rPr>
            </w:pPr>
            <w:r w:rsidRPr="00842404">
              <w:rPr>
                <w:b/>
                <w:bCs/>
                <w:color w:val="215967"/>
                <w:sz w:val="20"/>
              </w:rPr>
              <w:t>Número de CEEs en Castilla y León</w:t>
            </w:r>
          </w:p>
        </w:tc>
        <w:tc>
          <w:tcPr>
            <w:tcW w:w="1688" w:type="dxa"/>
            <w:vAlign w:val="center"/>
          </w:tcPr>
          <w:p w:rsidR="00A47882" w:rsidRPr="00842404" w:rsidRDefault="00A47882">
            <w:pPr>
              <w:autoSpaceDE w:val="0"/>
              <w:autoSpaceDN w:val="0"/>
              <w:spacing w:line="360" w:lineRule="auto"/>
              <w:jc w:val="center"/>
              <w:rPr>
                <w:b/>
                <w:bCs/>
                <w:color w:val="215967"/>
                <w:sz w:val="20"/>
              </w:rPr>
            </w:pPr>
            <w:r w:rsidRPr="00842404">
              <w:rPr>
                <w:b/>
                <w:bCs/>
                <w:color w:val="215967"/>
                <w:sz w:val="20"/>
              </w:rPr>
              <w:t xml:space="preserve">Número de PCD empleadas en CEEs </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1995</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47</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770</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1996</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57</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868</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1997</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62</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1.044</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1998</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64</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1.229</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1999</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72</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1.500</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2000</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80</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1.748</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2001</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96</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1.854</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2002</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112</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1.904</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2003</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121</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1.979</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2004</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139</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2.461</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2005</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146</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2.653</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2006</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153</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2.819</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2007</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160</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3.105</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2008</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169</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3.351</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2009</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177</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3.469</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2010</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174</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3.897</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2011</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185</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4.150</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2012</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190</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3.872</w:t>
            </w:r>
          </w:p>
        </w:tc>
      </w:tr>
      <w:tr w:rsidR="00A47882" w:rsidTr="00842404">
        <w:trPr>
          <w:jc w:val="center"/>
        </w:trPr>
        <w:tc>
          <w:tcPr>
            <w:tcW w:w="1687" w:type="dxa"/>
            <w:vAlign w:val="center"/>
          </w:tcPr>
          <w:p w:rsidR="00A47882" w:rsidRPr="00A47882" w:rsidRDefault="00A47882" w:rsidP="00842404">
            <w:pPr>
              <w:autoSpaceDE w:val="0"/>
              <w:autoSpaceDN w:val="0"/>
              <w:spacing w:line="360" w:lineRule="auto"/>
              <w:jc w:val="center"/>
              <w:rPr>
                <w:sz w:val="24"/>
                <w:szCs w:val="24"/>
                <w:lang w:val="es-ES_tradnl"/>
              </w:rPr>
            </w:pPr>
            <w:r w:rsidRPr="00842404">
              <w:rPr>
                <w:b/>
                <w:bCs/>
                <w:color w:val="215967"/>
                <w:sz w:val="20"/>
              </w:rPr>
              <w:t>2013</w:t>
            </w:r>
          </w:p>
        </w:tc>
        <w:tc>
          <w:tcPr>
            <w:tcW w:w="1687"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192</w:t>
            </w:r>
          </w:p>
        </w:tc>
        <w:tc>
          <w:tcPr>
            <w:tcW w:w="1688" w:type="dxa"/>
            <w:vAlign w:val="center"/>
          </w:tcPr>
          <w:p w:rsidR="00A47882" w:rsidRPr="00842404" w:rsidRDefault="00A47882" w:rsidP="00842404">
            <w:pPr>
              <w:autoSpaceDE w:val="0"/>
              <w:autoSpaceDN w:val="0"/>
              <w:spacing w:line="360" w:lineRule="auto"/>
              <w:jc w:val="center"/>
              <w:rPr>
                <w:sz w:val="20"/>
                <w:szCs w:val="24"/>
                <w:lang w:val="es-ES_tradnl"/>
              </w:rPr>
            </w:pPr>
            <w:r w:rsidRPr="00842404">
              <w:rPr>
                <w:sz w:val="20"/>
                <w:szCs w:val="24"/>
                <w:lang w:val="es-ES_tradnl"/>
              </w:rPr>
              <w:t>4.031</w:t>
            </w:r>
          </w:p>
        </w:tc>
      </w:tr>
    </w:tbl>
    <w:p w:rsidR="008172EA" w:rsidRPr="00842404" w:rsidRDefault="008172EA" w:rsidP="00A010D2">
      <w:pPr>
        <w:autoSpaceDE w:val="0"/>
        <w:autoSpaceDN w:val="0"/>
        <w:spacing w:line="360" w:lineRule="auto"/>
        <w:jc w:val="both"/>
        <w:rPr>
          <w:sz w:val="18"/>
          <w:szCs w:val="18"/>
          <w:lang w:val="es-ES_tradnl"/>
        </w:rPr>
      </w:pPr>
    </w:p>
    <w:p w:rsidR="00A47882" w:rsidRDefault="00A47882" w:rsidP="00A010D2">
      <w:pPr>
        <w:autoSpaceDE w:val="0"/>
        <w:autoSpaceDN w:val="0"/>
        <w:spacing w:line="360" w:lineRule="auto"/>
        <w:jc w:val="both"/>
        <w:rPr>
          <w:sz w:val="24"/>
          <w:szCs w:val="24"/>
          <w:lang w:val="es-ES_tradnl"/>
        </w:rPr>
      </w:pPr>
    </w:p>
    <w:p w:rsidR="00A47882" w:rsidRDefault="00A47882" w:rsidP="00A010D2">
      <w:pPr>
        <w:autoSpaceDE w:val="0"/>
        <w:autoSpaceDN w:val="0"/>
        <w:spacing w:line="360" w:lineRule="auto"/>
        <w:jc w:val="both"/>
        <w:rPr>
          <w:sz w:val="24"/>
          <w:szCs w:val="24"/>
          <w:lang w:val="es-ES_tradnl"/>
        </w:rPr>
      </w:pPr>
    </w:p>
    <w:p w:rsidR="00A47882" w:rsidRDefault="00A47882" w:rsidP="00A010D2">
      <w:pPr>
        <w:autoSpaceDE w:val="0"/>
        <w:autoSpaceDN w:val="0"/>
        <w:spacing w:line="360" w:lineRule="auto"/>
        <w:jc w:val="both"/>
        <w:rPr>
          <w:sz w:val="24"/>
          <w:szCs w:val="24"/>
          <w:lang w:val="es-ES_tradnl"/>
        </w:rPr>
      </w:pPr>
    </w:p>
    <w:p w:rsidR="00A47882" w:rsidRDefault="00A47882" w:rsidP="00A010D2">
      <w:pPr>
        <w:autoSpaceDE w:val="0"/>
        <w:autoSpaceDN w:val="0"/>
        <w:spacing w:line="360" w:lineRule="auto"/>
        <w:jc w:val="both"/>
        <w:rPr>
          <w:sz w:val="24"/>
          <w:szCs w:val="24"/>
          <w:lang w:val="es-ES_tradnl"/>
        </w:rPr>
      </w:pPr>
    </w:p>
    <w:p w:rsidR="000E0BB9" w:rsidRDefault="000E0BB9" w:rsidP="00A010D2">
      <w:pPr>
        <w:autoSpaceDE w:val="0"/>
        <w:autoSpaceDN w:val="0"/>
        <w:spacing w:line="360" w:lineRule="auto"/>
        <w:jc w:val="both"/>
        <w:rPr>
          <w:sz w:val="24"/>
          <w:szCs w:val="24"/>
          <w:lang w:val="es-ES_tradnl"/>
        </w:rPr>
      </w:pPr>
    </w:p>
    <w:p w:rsidR="00A47882" w:rsidRDefault="00A47882" w:rsidP="00A010D2">
      <w:pPr>
        <w:autoSpaceDE w:val="0"/>
        <w:autoSpaceDN w:val="0"/>
        <w:spacing w:line="360" w:lineRule="auto"/>
        <w:jc w:val="both"/>
        <w:rPr>
          <w:sz w:val="24"/>
          <w:szCs w:val="24"/>
          <w:lang w:val="es-ES_tradnl"/>
        </w:rPr>
      </w:pPr>
    </w:p>
    <w:p w:rsidR="00320C35" w:rsidRDefault="00320C35" w:rsidP="00A010D2">
      <w:pPr>
        <w:autoSpaceDE w:val="0"/>
        <w:autoSpaceDN w:val="0"/>
        <w:spacing w:line="360" w:lineRule="auto"/>
        <w:jc w:val="both"/>
        <w:rPr>
          <w:sz w:val="24"/>
          <w:szCs w:val="24"/>
          <w:lang w:val="es-ES_tradnl"/>
        </w:rPr>
      </w:pPr>
    </w:p>
    <w:p w:rsidR="00A47882" w:rsidRPr="00842404" w:rsidRDefault="00A47882" w:rsidP="00A010D2">
      <w:pPr>
        <w:autoSpaceDE w:val="0"/>
        <w:autoSpaceDN w:val="0"/>
        <w:spacing w:line="360" w:lineRule="auto"/>
        <w:jc w:val="both"/>
        <w:rPr>
          <w:b/>
          <w:sz w:val="24"/>
          <w:szCs w:val="24"/>
          <w:lang w:val="es-ES_tradnl"/>
        </w:rPr>
      </w:pPr>
      <w:r>
        <w:rPr>
          <w:b/>
          <w:sz w:val="24"/>
          <w:szCs w:val="24"/>
          <w:lang w:val="es-ES_tradnl"/>
        </w:rPr>
        <w:t xml:space="preserve"> </w:t>
      </w:r>
      <w:r w:rsidRPr="00842404">
        <w:rPr>
          <w:b/>
          <w:sz w:val="24"/>
          <w:szCs w:val="24"/>
          <w:lang w:val="es-ES_tradnl"/>
        </w:rPr>
        <w:t>Datos de los 169 CEEs analizados en el estudio cuantitativo</w:t>
      </w:r>
      <w:r>
        <w:rPr>
          <w:b/>
          <w:sz w:val="24"/>
          <w:szCs w:val="24"/>
          <w:lang w:val="es-ES_tradnl"/>
        </w:rPr>
        <w:t>:</w:t>
      </w:r>
    </w:p>
    <w:tbl>
      <w:tblPr>
        <w:tblStyle w:val="Tablaconcuadrcula"/>
        <w:tblW w:w="0" w:type="auto"/>
        <w:tblInd w:w="57" w:type="dxa"/>
        <w:tblBorders>
          <w:insideV w:val="none" w:sz="0" w:space="0" w:color="auto"/>
        </w:tblBorders>
        <w:tblLook w:val="04A0"/>
      </w:tblPr>
      <w:tblGrid>
        <w:gridCol w:w="3165"/>
        <w:gridCol w:w="2338"/>
        <w:gridCol w:w="2935"/>
      </w:tblGrid>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sidRPr="00C65063">
              <w:rPr>
                <w:b/>
                <w:sz w:val="20"/>
                <w:szCs w:val="24"/>
                <w:lang w:val="es-ES_tradnl"/>
              </w:rPr>
              <w:t xml:space="preserve">Número de </w:t>
            </w:r>
            <w:r>
              <w:rPr>
                <w:b/>
                <w:sz w:val="20"/>
                <w:szCs w:val="24"/>
                <w:lang w:val="es-ES_tradnl"/>
              </w:rPr>
              <w:t xml:space="preserve">CEEs </w:t>
            </w:r>
            <w:r w:rsidRPr="00C65063">
              <w:rPr>
                <w:b/>
                <w:sz w:val="20"/>
                <w:szCs w:val="24"/>
                <w:lang w:val="es-ES_tradnl"/>
              </w:rPr>
              <w:t>analizados en este estudio</w:t>
            </w:r>
            <w:r>
              <w:rPr>
                <w:b/>
                <w:sz w:val="20"/>
                <w:szCs w:val="24"/>
                <w:lang w:val="es-ES_tradnl"/>
              </w:rPr>
              <w:t>.*</w:t>
            </w:r>
          </w:p>
        </w:tc>
        <w:tc>
          <w:tcPr>
            <w:tcW w:w="2338" w:type="dxa"/>
          </w:tcPr>
          <w:p w:rsidR="00A47882" w:rsidRPr="00C65063" w:rsidRDefault="00A47882" w:rsidP="009B422D">
            <w:pPr>
              <w:autoSpaceDE w:val="0"/>
              <w:autoSpaceDN w:val="0"/>
              <w:spacing w:line="360" w:lineRule="auto"/>
              <w:jc w:val="right"/>
              <w:rPr>
                <w:sz w:val="20"/>
                <w:szCs w:val="24"/>
                <w:lang w:val="es-ES_tradnl"/>
              </w:rPr>
            </w:pPr>
          </w:p>
        </w:tc>
        <w:tc>
          <w:tcPr>
            <w:tcW w:w="2935" w:type="dxa"/>
          </w:tcPr>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169</w:t>
            </w:r>
          </w:p>
        </w:tc>
      </w:tr>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Pr>
                <w:b/>
                <w:sz w:val="20"/>
                <w:szCs w:val="24"/>
                <w:lang w:val="es-ES_tradnl"/>
              </w:rPr>
              <w:t>Número de CEEs existentes en Castilla y León a fecha de julio de 2014, cuando se elaboró el informe.*</w:t>
            </w:r>
          </w:p>
        </w:tc>
        <w:tc>
          <w:tcPr>
            <w:tcW w:w="2338" w:type="dxa"/>
          </w:tcPr>
          <w:p w:rsidR="00A47882" w:rsidRDefault="00A47882" w:rsidP="009B422D">
            <w:pPr>
              <w:autoSpaceDE w:val="0"/>
              <w:autoSpaceDN w:val="0"/>
              <w:spacing w:line="360" w:lineRule="auto"/>
              <w:jc w:val="right"/>
              <w:rPr>
                <w:sz w:val="20"/>
                <w:szCs w:val="24"/>
                <w:lang w:val="es-ES_tradnl"/>
              </w:rPr>
            </w:pPr>
          </w:p>
        </w:tc>
        <w:tc>
          <w:tcPr>
            <w:tcW w:w="2935" w:type="dxa"/>
          </w:tcPr>
          <w:p w:rsidR="00A47882" w:rsidRPr="00C65063" w:rsidRDefault="00A47882" w:rsidP="009B422D">
            <w:pPr>
              <w:autoSpaceDE w:val="0"/>
              <w:autoSpaceDN w:val="0"/>
              <w:spacing w:line="360" w:lineRule="auto"/>
              <w:jc w:val="right"/>
              <w:rPr>
                <w:sz w:val="20"/>
                <w:szCs w:val="24"/>
                <w:lang w:val="es-ES_tradnl"/>
              </w:rPr>
            </w:pPr>
            <w:r>
              <w:rPr>
                <w:sz w:val="20"/>
                <w:szCs w:val="24"/>
                <w:lang w:val="es-ES_tradnl"/>
              </w:rPr>
              <w:t>188</w:t>
            </w:r>
          </w:p>
        </w:tc>
      </w:tr>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sidRPr="00C65063">
              <w:rPr>
                <w:b/>
                <w:sz w:val="20"/>
                <w:szCs w:val="24"/>
                <w:lang w:val="es-ES_tradnl"/>
              </w:rPr>
              <w:t xml:space="preserve">Tamaño medio de los </w:t>
            </w:r>
            <w:r>
              <w:rPr>
                <w:b/>
                <w:sz w:val="20"/>
                <w:szCs w:val="24"/>
                <w:lang w:val="es-ES_tradnl"/>
              </w:rPr>
              <w:t>CEEs</w:t>
            </w:r>
          </w:p>
        </w:tc>
        <w:tc>
          <w:tcPr>
            <w:tcW w:w="2338" w:type="dxa"/>
          </w:tcPr>
          <w:p w:rsidR="00A47882" w:rsidRPr="00C65063" w:rsidRDefault="00A47882" w:rsidP="009B422D">
            <w:pPr>
              <w:autoSpaceDE w:val="0"/>
              <w:autoSpaceDN w:val="0"/>
              <w:spacing w:line="360" w:lineRule="auto"/>
              <w:jc w:val="right"/>
              <w:rPr>
                <w:sz w:val="20"/>
                <w:szCs w:val="24"/>
                <w:lang w:val="es-ES_tradnl"/>
              </w:rPr>
            </w:pPr>
          </w:p>
        </w:tc>
        <w:tc>
          <w:tcPr>
            <w:tcW w:w="2935" w:type="dxa"/>
          </w:tcPr>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27 empleados</w:t>
            </w:r>
          </w:p>
        </w:tc>
      </w:tr>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sidRPr="00C65063">
              <w:rPr>
                <w:b/>
                <w:sz w:val="20"/>
                <w:szCs w:val="24"/>
                <w:lang w:val="es-ES_tradnl"/>
              </w:rPr>
              <w:t xml:space="preserve">Antigüedad media de los </w:t>
            </w:r>
            <w:r>
              <w:rPr>
                <w:b/>
                <w:sz w:val="20"/>
                <w:szCs w:val="24"/>
                <w:lang w:val="es-ES_tradnl"/>
              </w:rPr>
              <w:t>CEEs</w:t>
            </w:r>
          </w:p>
        </w:tc>
        <w:tc>
          <w:tcPr>
            <w:tcW w:w="2338" w:type="dxa"/>
          </w:tcPr>
          <w:p w:rsidR="00A47882" w:rsidRPr="00C65063" w:rsidRDefault="00A47882" w:rsidP="009B422D">
            <w:pPr>
              <w:autoSpaceDE w:val="0"/>
              <w:autoSpaceDN w:val="0"/>
              <w:spacing w:line="360" w:lineRule="auto"/>
              <w:jc w:val="right"/>
              <w:rPr>
                <w:sz w:val="20"/>
                <w:szCs w:val="24"/>
                <w:lang w:val="es-ES_tradnl"/>
              </w:rPr>
            </w:pPr>
          </w:p>
        </w:tc>
        <w:tc>
          <w:tcPr>
            <w:tcW w:w="2935" w:type="dxa"/>
          </w:tcPr>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10 años</w:t>
            </w:r>
          </w:p>
        </w:tc>
      </w:tr>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Pr>
                <w:b/>
                <w:sz w:val="20"/>
                <w:szCs w:val="24"/>
                <w:lang w:val="es-ES_tradnl"/>
              </w:rPr>
              <w:t>CEEs</w:t>
            </w:r>
            <w:r w:rsidRPr="00C65063">
              <w:rPr>
                <w:b/>
                <w:sz w:val="20"/>
                <w:szCs w:val="24"/>
                <w:lang w:val="es-ES_tradnl"/>
              </w:rPr>
              <w:t xml:space="preserve"> de Iniciativa Social</w:t>
            </w:r>
          </w:p>
        </w:tc>
        <w:tc>
          <w:tcPr>
            <w:tcW w:w="2338" w:type="dxa"/>
          </w:tcPr>
          <w:p w:rsidR="00A47882" w:rsidRPr="00C65063" w:rsidRDefault="00A47882" w:rsidP="009B422D">
            <w:pPr>
              <w:autoSpaceDE w:val="0"/>
              <w:autoSpaceDN w:val="0"/>
              <w:spacing w:line="360" w:lineRule="auto"/>
              <w:jc w:val="right"/>
              <w:rPr>
                <w:sz w:val="20"/>
                <w:szCs w:val="24"/>
                <w:lang w:val="es-ES_tradnl"/>
              </w:rPr>
            </w:pPr>
          </w:p>
        </w:tc>
        <w:tc>
          <w:tcPr>
            <w:tcW w:w="2935" w:type="dxa"/>
          </w:tcPr>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51</w:t>
            </w:r>
          </w:p>
        </w:tc>
      </w:tr>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Pr>
                <w:b/>
                <w:sz w:val="20"/>
                <w:szCs w:val="24"/>
                <w:lang w:val="es-ES_tradnl"/>
              </w:rPr>
              <w:t>CEEs</w:t>
            </w:r>
            <w:r w:rsidRPr="00C65063">
              <w:rPr>
                <w:b/>
                <w:sz w:val="20"/>
                <w:szCs w:val="24"/>
                <w:lang w:val="es-ES_tradnl"/>
              </w:rPr>
              <w:t xml:space="preserve"> de Iniciativa </w:t>
            </w:r>
            <w:r>
              <w:rPr>
                <w:b/>
                <w:sz w:val="20"/>
                <w:szCs w:val="24"/>
                <w:lang w:val="es-ES_tradnl"/>
              </w:rPr>
              <w:t>Empresarial</w:t>
            </w:r>
          </w:p>
        </w:tc>
        <w:tc>
          <w:tcPr>
            <w:tcW w:w="2338" w:type="dxa"/>
          </w:tcPr>
          <w:p w:rsidR="00A47882" w:rsidRPr="00C65063" w:rsidRDefault="00A47882" w:rsidP="009B422D">
            <w:pPr>
              <w:autoSpaceDE w:val="0"/>
              <w:autoSpaceDN w:val="0"/>
              <w:spacing w:line="360" w:lineRule="auto"/>
              <w:jc w:val="right"/>
              <w:rPr>
                <w:sz w:val="20"/>
                <w:szCs w:val="24"/>
                <w:lang w:val="es-ES_tradnl"/>
              </w:rPr>
            </w:pPr>
          </w:p>
        </w:tc>
        <w:tc>
          <w:tcPr>
            <w:tcW w:w="2935" w:type="dxa"/>
          </w:tcPr>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108</w:t>
            </w:r>
          </w:p>
        </w:tc>
      </w:tr>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sidRPr="00C65063">
              <w:rPr>
                <w:b/>
                <w:sz w:val="20"/>
                <w:szCs w:val="24"/>
                <w:lang w:val="es-ES_tradnl"/>
              </w:rPr>
              <w:t xml:space="preserve">Sectores de actividad que abarcan un 75% de los </w:t>
            </w:r>
            <w:r>
              <w:rPr>
                <w:b/>
                <w:sz w:val="20"/>
                <w:szCs w:val="24"/>
                <w:lang w:val="es-ES_tradnl"/>
              </w:rPr>
              <w:t>CEEs</w:t>
            </w:r>
          </w:p>
        </w:tc>
        <w:tc>
          <w:tcPr>
            <w:tcW w:w="2338" w:type="dxa"/>
          </w:tcPr>
          <w:p w:rsidR="00A47882" w:rsidRPr="00C65063" w:rsidRDefault="00A47882" w:rsidP="00821A1E">
            <w:pPr>
              <w:autoSpaceDE w:val="0"/>
              <w:autoSpaceDN w:val="0"/>
              <w:spacing w:line="360" w:lineRule="auto"/>
              <w:jc w:val="right"/>
              <w:rPr>
                <w:sz w:val="20"/>
                <w:szCs w:val="24"/>
                <w:lang w:val="es-ES_tradnl"/>
              </w:rPr>
            </w:pPr>
          </w:p>
        </w:tc>
        <w:tc>
          <w:tcPr>
            <w:tcW w:w="2935" w:type="dxa"/>
          </w:tcPr>
          <w:p w:rsidR="00A47882" w:rsidRPr="00C65063" w:rsidRDefault="00A47882" w:rsidP="00821A1E">
            <w:pPr>
              <w:autoSpaceDE w:val="0"/>
              <w:autoSpaceDN w:val="0"/>
              <w:spacing w:line="360" w:lineRule="auto"/>
              <w:jc w:val="right"/>
              <w:rPr>
                <w:sz w:val="20"/>
                <w:szCs w:val="24"/>
                <w:lang w:val="es-ES_tradnl"/>
              </w:rPr>
            </w:pPr>
            <w:r w:rsidRPr="00C65063">
              <w:rPr>
                <w:sz w:val="20"/>
                <w:szCs w:val="24"/>
                <w:lang w:val="es-ES_tradnl"/>
              </w:rPr>
              <w:t>Industria Manufacturera, Comercio al por mayor y al por menor, Actividades Administrativas y de Servicios Auxiliares, y Otros Servicios</w:t>
            </w:r>
          </w:p>
        </w:tc>
      </w:tr>
      <w:tr w:rsidR="00A47882" w:rsidRPr="00C65063" w:rsidTr="00842404">
        <w:tc>
          <w:tcPr>
            <w:tcW w:w="3165" w:type="dxa"/>
          </w:tcPr>
          <w:p w:rsidR="00A47882" w:rsidRPr="00C65063" w:rsidRDefault="00A47882" w:rsidP="006F7A99">
            <w:pPr>
              <w:autoSpaceDE w:val="0"/>
              <w:autoSpaceDN w:val="0"/>
              <w:spacing w:line="360" w:lineRule="auto"/>
              <w:jc w:val="both"/>
              <w:rPr>
                <w:b/>
                <w:sz w:val="20"/>
                <w:szCs w:val="24"/>
                <w:lang w:val="es-ES_tradnl"/>
              </w:rPr>
            </w:pPr>
            <w:r w:rsidRPr="00C65063">
              <w:rPr>
                <w:b/>
                <w:sz w:val="20"/>
                <w:szCs w:val="24"/>
                <w:lang w:val="es-ES_tradnl"/>
              </w:rPr>
              <w:t>Clasificación por Provincias</w:t>
            </w:r>
          </w:p>
        </w:tc>
        <w:tc>
          <w:tcPr>
            <w:tcW w:w="2338" w:type="dxa"/>
          </w:tcPr>
          <w:p w:rsidR="00A47882" w:rsidRPr="00C65063" w:rsidRDefault="00A47882" w:rsidP="009B422D">
            <w:pPr>
              <w:autoSpaceDE w:val="0"/>
              <w:autoSpaceDN w:val="0"/>
              <w:spacing w:line="360" w:lineRule="auto"/>
              <w:jc w:val="right"/>
              <w:rPr>
                <w:sz w:val="20"/>
                <w:szCs w:val="24"/>
                <w:lang w:val="es-ES_tradnl"/>
              </w:rPr>
            </w:pPr>
          </w:p>
        </w:tc>
        <w:tc>
          <w:tcPr>
            <w:tcW w:w="2935" w:type="dxa"/>
          </w:tcPr>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Ávila: 6</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Burgos: 26</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León: 59</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Palencia: 11</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Salamanca: 11</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Segovia: 7</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Soria: 4</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Valladolid: 26</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Zamora: 5</w:t>
            </w:r>
          </w:p>
          <w:p w:rsidR="00A47882" w:rsidRPr="00C65063" w:rsidRDefault="00A47882" w:rsidP="009B422D">
            <w:pPr>
              <w:autoSpaceDE w:val="0"/>
              <w:autoSpaceDN w:val="0"/>
              <w:spacing w:line="360" w:lineRule="auto"/>
              <w:jc w:val="right"/>
              <w:rPr>
                <w:sz w:val="20"/>
                <w:szCs w:val="24"/>
                <w:lang w:val="es-ES_tradnl"/>
              </w:rPr>
            </w:pPr>
            <w:r w:rsidRPr="00C65063">
              <w:rPr>
                <w:sz w:val="20"/>
                <w:szCs w:val="24"/>
                <w:lang w:val="es-ES_tradnl"/>
              </w:rPr>
              <w:t>Presentes en más de una provincia: 14</w:t>
            </w:r>
          </w:p>
        </w:tc>
      </w:tr>
    </w:tbl>
    <w:p w:rsidR="006F7A99" w:rsidRDefault="006F7A99" w:rsidP="00A53340">
      <w:pPr>
        <w:autoSpaceDE w:val="0"/>
        <w:autoSpaceDN w:val="0"/>
        <w:spacing w:line="360" w:lineRule="auto"/>
        <w:jc w:val="both"/>
        <w:rPr>
          <w:sz w:val="24"/>
          <w:szCs w:val="24"/>
          <w:lang w:val="es-ES_tradnl"/>
        </w:rPr>
      </w:pPr>
    </w:p>
    <w:tbl>
      <w:tblPr>
        <w:tblStyle w:val="Tablaconcuadrcula"/>
        <w:tblW w:w="8495" w:type="dxa"/>
        <w:tblInd w:w="-5" w:type="dxa"/>
        <w:tblLook w:val="04A0"/>
      </w:tblPr>
      <w:tblGrid>
        <w:gridCol w:w="8495"/>
      </w:tblGrid>
      <w:tr w:rsidR="003858D1" w:rsidTr="00842404">
        <w:trPr>
          <w:trHeight w:val="856"/>
        </w:trPr>
        <w:tc>
          <w:tcPr>
            <w:tcW w:w="8495" w:type="dxa"/>
          </w:tcPr>
          <w:p w:rsidR="003858D1" w:rsidRPr="00842404" w:rsidRDefault="003858D1" w:rsidP="00842404">
            <w:pPr>
              <w:autoSpaceDE w:val="0"/>
              <w:autoSpaceDN w:val="0"/>
              <w:jc w:val="both"/>
              <w:rPr>
                <w:sz w:val="20"/>
                <w:lang w:val="es-ES_tradnl"/>
              </w:rPr>
            </w:pPr>
            <w:r w:rsidRPr="00842404">
              <w:rPr>
                <w:sz w:val="20"/>
                <w:lang w:val="es-ES_tradnl"/>
              </w:rPr>
              <w:t xml:space="preserve">*Aunque el número de </w:t>
            </w:r>
            <w:r w:rsidR="00263316" w:rsidRPr="00842404">
              <w:rPr>
                <w:sz w:val="20"/>
                <w:lang w:val="es-ES_tradnl"/>
              </w:rPr>
              <w:t>CEEs</w:t>
            </w:r>
            <w:r w:rsidRPr="00842404">
              <w:rPr>
                <w:sz w:val="20"/>
                <w:lang w:val="es-ES_tradnl"/>
              </w:rPr>
              <w:t xml:space="preserve"> </w:t>
            </w:r>
            <w:r w:rsidR="00FF5630" w:rsidRPr="00842404">
              <w:rPr>
                <w:sz w:val="20"/>
                <w:lang w:val="es-ES_tradnl"/>
              </w:rPr>
              <w:t xml:space="preserve">existentes </w:t>
            </w:r>
            <w:r w:rsidRPr="00842404">
              <w:rPr>
                <w:sz w:val="20"/>
                <w:lang w:val="es-ES_tradnl"/>
              </w:rPr>
              <w:t>en Castilla y León en el momento de elaboración de este estudio (julio 2014) era</w:t>
            </w:r>
            <w:r w:rsidR="00FF5630" w:rsidRPr="00842404">
              <w:rPr>
                <w:sz w:val="20"/>
                <w:lang w:val="es-ES_tradnl"/>
              </w:rPr>
              <w:t xml:space="preserve"> de</w:t>
            </w:r>
            <w:r w:rsidRPr="00842404">
              <w:rPr>
                <w:sz w:val="20"/>
                <w:lang w:val="es-ES_tradnl"/>
              </w:rPr>
              <w:t xml:space="preserve"> 188, </w:t>
            </w:r>
            <w:r w:rsidR="00FF5630" w:rsidRPr="00842404">
              <w:rPr>
                <w:sz w:val="20"/>
                <w:lang w:val="es-ES_tradnl"/>
              </w:rPr>
              <w:t xml:space="preserve">algunos de ellos fueron excluidos </w:t>
            </w:r>
            <w:r w:rsidRPr="00842404">
              <w:rPr>
                <w:sz w:val="20"/>
                <w:lang w:val="es-ES_tradnl"/>
              </w:rPr>
              <w:t xml:space="preserve">del análisis </w:t>
            </w:r>
            <w:r w:rsidR="0078573A">
              <w:rPr>
                <w:sz w:val="20"/>
                <w:lang w:val="es-ES_tradnl"/>
              </w:rPr>
              <w:t xml:space="preserve">cuantitativo </w:t>
            </w:r>
            <w:r w:rsidRPr="00842404">
              <w:rPr>
                <w:sz w:val="20"/>
                <w:lang w:val="es-ES_tradnl"/>
              </w:rPr>
              <w:t xml:space="preserve">por problemas con la información disponible. Por esta razón, </w:t>
            </w:r>
            <w:r w:rsidR="00FF5630" w:rsidRPr="00842404">
              <w:rPr>
                <w:sz w:val="20"/>
                <w:lang w:val="es-ES_tradnl"/>
              </w:rPr>
              <w:t xml:space="preserve">el número de </w:t>
            </w:r>
            <w:r w:rsidR="009F5192" w:rsidRPr="00842404">
              <w:rPr>
                <w:sz w:val="20"/>
                <w:lang w:val="es-ES_tradnl"/>
              </w:rPr>
              <w:t>CEEs</w:t>
            </w:r>
            <w:r w:rsidR="00FF5630" w:rsidRPr="00842404">
              <w:rPr>
                <w:sz w:val="20"/>
                <w:lang w:val="es-ES_tradnl"/>
              </w:rPr>
              <w:t xml:space="preserve"> analizados es de 169, lo que supone un 90% de todos los </w:t>
            </w:r>
            <w:r w:rsidR="00263316" w:rsidRPr="00842404">
              <w:rPr>
                <w:sz w:val="20"/>
                <w:lang w:val="es-ES_tradnl"/>
              </w:rPr>
              <w:t>CEEs</w:t>
            </w:r>
            <w:r w:rsidR="00FF5630" w:rsidRPr="00842404">
              <w:rPr>
                <w:sz w:val="20"/>
                <w:lang w:val="es-ES_tradnl"/>
              </w:rPr>
              <w:t xml:space="preserve"> de Castilla y León.</w:t>
            </w:r>
          </w:p>
        </w:tc>
      </w:tr>
    </w:tbl>
    <w:p w:rsidR="003858D1" w:rsidRDefault="003858D1" w:rsidP="00A53340">
      <w:pPr>
        <w:autoSpaceDE w:val="0"/>
        <w:autoSpaceDN w:val="0"/>
        <w:spacing w:line="360" w:lineRule="auto"/>
        <w:jc w:val="both"/>
        <w:rPr>
          <w:sz w:val="24"/>
          <w:szCs w:val="24"/>
          <w:lang w:val="es-ES_tradnl"/>
        </w:rPr>
      </w:pPr>
    </w:p>
    <w:p w:rsidR="00A83578" w:rsidRDefault="00A83578" w:rsidP="00A53340">
      <w:pPr>
        <w:autoSpaceDE w:val="0"/>
        <w:autoSpaceDN w:val="0"/>
        <w:spacing w:line="360" w:lineRule="auto"/>
        <w:jc w:val="both"/>
        <w:rPr>
          <w:sz w:val="24"/>
          <w:szCs w:val="24"/>
          <w:lang w:val="es-ES_tradnl"/>
        </w:rPr>
      </w:pPr>
    </w:p>
    <w:p w:rsidR="00A83578" w:rsidRDefault="00A83578" w:rsidP="00A53340">
      <w:pPr>
        <w:autoSpaceDE w:val="0"/>
        <w:autoSpaceDN w:val="0"/>
        <w:spacing w:line="360" w:lineRule="auto"/>
        <w:jc w:val="both"/>
        <w:rPr>
          <w:sz w:val="24"/>
          <w:szCs w:val="24"/>
          <w:lang w:val="es-ES_tradnl"/>
        </w:rPr>
      </w:pPr>
    </w:p>
    <w:p w:rsidR="00A83578" w:rsidRDefault="00A83578" w:rsidP="00842404">
      <w:pPr>
        <w:pStyle w:val="Ttulo2"/>
        <w:rPr>
          <w:lang w:val="es-ES_tradnl"/>
        </w:rPr>
      </w:pPr>
      <w:bookmarkStart w:id="220" w:name="_Toc410916867"/>
      <w:r>
        <w:rPr>
          <w:lang w:val="es-ES_tradnl"/>
        </w:rPr>
        <w:lastRenderedPageBreak/>
        <w:t>Comparativa entre los Centros Especiales de Empleo de Castilla y León y los de España en su conjunto</w:t>
      </w:r>
      <w:bookmarkEnd w:id="220"/>
    </w:p>
    <w:p w:rsidR="00A83578" w:rsidRDefault="00A83578" w:rsidP="00A53340">
      <w:pPr>
        <w:autoSpaceDE w:val="0"/>
        <w:autoSpaceDN w:val="0"/>
        <w:spacing w:line="360" w:lineRule="auto"/>
        <w:jc w:val="both"/>
        <w:rPr>
          <w:sz w:val="24"/>
          <w:szCs w:val="24"/>
          <w:lang w:val="es-ES_tradnl"/>
        </w:rPr>
      </w:pPr>
    </w:p>
    <w:p w:rsidR="00E95BD1" w:rsidRDefault="00A83578" w:rsidP="00A53340">
      <w:pPr>
        <w:autoSpaceDE w:val="0"/>
        <w:autoSpaceDN w:val="0"/>
        <w:spacing w:line="360" w:lineRule="auto"/>
        <w:jc w:val="both"/>
        <w:rPr>
          <w:sz w:val="24"/>
          <w:szCs w:val="24"/>
          <w:lang w:val="es-ES_tradnl"/>
        </w:rPr>
      </w:pPr>
      <w:r>
        <w:rPr>
          <w:sz w:val="24"/>
          <w:szCs w:val="24"/>
          <w:lang w:val="es-ES_tradnl"/>
        </w:rPr>
        <w:t>S</w:t>
      </w:r>
      <w:r w:rsidR="00E95BD1">
        <w:rPr>
          <w:sz w:val="24"/>
          <w:szCs w:val="24"/>
          <w:lang w:val="es-ES_tradnl"/>
        </w:rPr>
        <w:t xml:space="preserve">i realizamos una comparativa entre los centros especiales de empleo de Castilla y León y los de España en su conjunto, </w:t>
      </w:r>
      <w:r w:rsidR="00EE08D5">
        <w:rPr>
          <w:sz w:val="24"/>
          <w:szCs w:val="24"/>
          <w:lang w:val="es-ES_tradnl"/>
        </w:rPr>
        <w:t xml:space="preserve">se pueden </w:t>
      </w:r>
      <w:r w:rsidR="00E95BD1">
        <w:rPr>
          <w:sz w:val="24"/>
          <w:szCs w:val="24"/>
          <w:lang w:val="es-ES_tradnl"/>
        </w:rPr>
        <w:t xml:space="preserve">hacer algunas observaciones. </w:t>
      </w:r>
    </w:p>
    <w:p w:rsidR="00E95BD1" w:rsidRDefault="00E95BD1" w:rsidP="00A53340">
      <w:pPr>
        <w:autoSpaceDE w:val="0"/>
        <w:autoSpaceDN w:val="0"/>
        <w:spacing w:line="360" w:lineRule="auto"/>
        <w:jc w:val="both"/>
        <w:rPr>
          <w:sz w:val="24"/>
          <w:szCs w:val="24"/>
          <w:lang w:val="es-ES_tradnl"/>
        </w:rPr>
      </w:pPr>
    </w:p>
    <w:p w:rsidR="00FD2264" w:rsidRDefault="00E121EF" w:rsidP="00A53340">
      <w:pPr>
        <w:autoSpaceDE w:val="0"/>
        <w:autoSpaceDN w:val="0"/>
        <w:spacing w:line="360" w:lineRule="auto"/>
        <w:jc w:val="both"/>
        <w:rPr>
          <w:sz w:val="24"/>
          <w:szCs w:val="24"/>
          <w:lang w:val="es-ES_tradnl"/>
        </w:rPr>
      </w:pPr>
      <w:r>
        <w:rPr>
          <w:sz w:val="24"/>
          <w:szCs w:val="24"/>
          <w:lang w:val="es-ES_tradnl"/>
        </w:rPr>
        <w:t>En el año 2011 había en toda España 2</w:t>
      </w:r>
      <w:r w:rsidR="00C66D01">
        <w:rPr>
          <w:sz w:val="24"/>
          <w:szCs w:val="24"/>
          <w:lang w:val="es-ES_tradnl"/>
        </w:rPr>
        <w:t>.</w:t>
      </w:r>
      <w:r>
        <w:rPr>
          <w:sz w:val="24"/>
          <w:szCs w:val="24"/>
          <w:lang w:val="es-ES_tradnl"/>
        </w:rPr>
        <w:t>215 centros especiales de empleo. Dado que en 2011 la población española era de cerca de 47 millones de personas, a fecha de 2011 había en España un centro especial</w:t>
      </w:r>
      <w:r w:rsidR="00260A43">
        <w:rPr>
          <w:sz w:val="24"/>
          <w:szCs w:val="24"/>
          <w:lang w:val="es-ES_tradnl"/>
        </w:rPr>
        <w:t xml:space="preserve"> de empleo por cada </w:t>
      </w:r>
      <w:r>
        <w:rPr>
          <w:sz w:val="24"/>
          <w:szCs w:val="24"/>
          <w:lang w:val="es-ES_tradnl"/>
        </w:rPr>
        <w:t xml:space="preserve">21.000 </w:t>
      </w:r>
      <w:r w:rsidR="00260A43">
        <w:rPr>
          <w:sz w:val="24"/>
          <w:szCs w:val="24"/>
          <w:lang w:val="es-ES_tradnl"/>
        </w:rPr>
        <w:t>habitantes</w:t>
      </w:r>
      <w:r>
        <w:rPr>
          <w:sz w:val="24"/>
          <w:szCs w:val="24"/>
          <w:lang w:val="es-ES_tradnl"/>
        </w:rPr>
        <w:t xml:space="preserve"> aproximadamente. </w:t>
      </w:r>
    </w:p>
    <w:p w:rsidR="00FD2264" w:rsidRDefault="00FD2264" w:rsidP="00A53340">
      <w:pPr>
        <w:autoSpaceDE w:val="0"/>
        <w:autoSpaceDN w:val="0"/>
        <w:spacing w:line="360" w:lineRule="auto"/>
        <w:jc w:val="both"/>
        <w:rPr>
          <w:sz w:val="24"/>
          <w:szCs w:val="24"/>
          <w:lang w:val="es-ES_tradnl"/>
        </w:rPr>
      </w:pPr>
      <w:r>
        <w:rPr>
          <w:sz w:val="24"/>
          <w:szCs w:val="24"/>
          <w:lang w:val="es-ES_tradnl"/>
        </w:rPr>
        <w:t>En el año 2013 había en Castilla y León 198 centros especiales de empleo y 2,5 millones de habitantes aproximadamente, lo qu</w:t>
      </w:r>
      <w:r w:rsidR="00EE08D5">
        <w:rPr>
          <w:sz w:val="24"/>
          <w:szCs w:val="24"/>
          <w:lang w:val="es-ES_tradnl"/>
        </w:rPr>
        <w:t>e da</w:t>
      </w:r>
      <w:r w:rsidR="00756E90">
        <w:rPr>
          <w:sz w:val="24"/>
          <w:szCs w:val="24"/>
          <w:lang w:val="es-ES_tradnl"/>
        </w:rPr>
        <w:t xml:space="preserve"> lugar a una media de un centro</w:t>
      </w:r>
      <w:r w:rsidR="00EE08D5">
        <w:rPr>
          <w:sz w:val="24"/>
          <w:szCs w:val="24"/>
          <w:lang w:val="es-ES_tradnl"/>
        </w:rPr>
        <w:t xml:space="preserve"> especial de empleo</w:t>
      </w:r>
      <w:r>
        <w:rPr>
          <w:sz w:val="24"/>
          <w:szCs w:val="24"/>
          <w:lang w:val="es-ES_tradnl"/>
        </w:rPr>
        <w:t xml:space="preserve"> por cada 13.000 habitantes aproximadamente. De esta forma, se observa que hay una mayor prevalencia de centros especiales de empleo, relativo a la población</w:t>
      </w:r>
      <w:r w:rsidR="00756E90">
        <w:rPr>
          <w:sz w:val="24"/>
          <w:szCs w:val="24"/>
          <w:lang w:val="es-ES_tradnl"/>
        </w:rPr>
        <w:t xml:space="preserve"> total</w:t>
      </w:r>
      <w:r>
        <w:rPr>
          <w:sz w:val="24"/>
          <w:szCs w:val="24"/>
          <w:lang w:val="es-ES_tradnl"/>
        </w:rPr>
        <w:t xml:space="preserve">, en Castilla y León que en el conjunto de España. </w:t>
      </w:r>
    </w:p>
    <w:p w:rsidR="00FD2264" w:rsidRDefault="00FD2264" w:rsidP="00A53340">
      <w:pPr>
        <w:autoSpaceDE w:val="0"/>
        <w:autoSpaceDN w:val="0"/>
        <w:spacing w:line="360" w:lineRule="auto"/>
        <w:jc w:val="both"/>
        <w:rPr>
          <w:sz w:val="24"/>
          <w:szCs w:val="24"/>
          <w:lang w:val="es-ES_tradnl"/>
        </w:rPr>
      </w:pPr>
    </w:p>
    <w:p w:rsidR="00FD2264" w:rsidRDefault="00FD2264" w:rsidP="00EE08D5">
      <w:pPr>
        <w:autoSpaceDE w:val="0"/>
        <w:autoSpaceDN w:val="0"/>
        <w:spacing w:line="360" w:lineRule="auto"/>
        <w:jc w:val="both"/>
        <w:rPr>
          <w:sz w:val="24"/>
          <w:szCs w:val="24"/>
          <w:lang w:val="es-ES_tradnl"/>
        </w:rPr>
      </w:pPr>
      <w:r>
        <w:rPr>
          <w:sz w:val="24"/>
          <w:szCs w:val="24"/>
          <w:lang w:val="es-ES_tradnl"/>
        </w:rPr>
        <w:t xml:space="preserve">Si ponemos el foco en la población </w:t>
      </w:r>
      <w:r w:rsidR="00304B1B">
        <w:rPr>
          <w:sz w:val="24"/>
          <w:szCs w:val="24"/>
          <w:lang w:val="es-ES_tradnl"/>
        </w:rPr>
        <w:t xml:space="preserve">activa </w:t>
      </w:r>
      <w:r>
        <w:rPr>
          <w:sz w:val="24"/>
          <w:szCs w:val="24"/>
          <w:lang w:val="es-ES_tradnl"/>
        </w:rPr>
        <w:t xml:space="preserve">de personas con discapacidad, las conclusiones son similares. </w:t>
      </w:r>
      <w:r w:rsidR="00756E90">
        <w:rPr>
          <w:sz w:val="24"/>
          <w:szCs w:val="24"/>
          <w:lang w:val="es-ES_tradnl"/>
        </w:rPr>
        <w:t>En 2011 había en España 462.000 pe</w:t>
      </w:r>
      <w:r w:rsidR="0089464E">
        <w:rPr>
          <w:sz w:val="24"/>
          <w:szCs w:val="24"/>
          <w:lang w:val="es-ES_tradnl"/>
        </w:rPr>
        <w:t>rso</w:t>
      </w:r>
      <w:r w:rsidR="00FE32B8">
        <w:rPr>
          <w:sz w:val="24"/>
          <w:szCs w:val="24"/>
          <w:lang w:val="es-ES_tradnl"/>
        </w:rPr>
        <w:t xml:space="preserve">nas con </w:t>
      </w:r>
      <w:proofErr w:type="gramStart"/>
      <w:r w:rsidR="00FE32B8">
        <w:rPr>
          <w:sz w:val="24"/>
          <w:szCs w:val="24"/>
          <w:lang w:val="es-ES_tradnl"/>
        </w:rPr>
        <w:t xml:space="preserve">discapacidad </w:t>
      </w:r>
      <w:r w:rsidR="0089464E">
        <w:rPr>
          <w:sz w:val="24"/>
          <w:szCs w:val="24"/>
          <w:lang w:val="es-ES_tradnl"/>
        </w:rPr>
        <w:t>activas</w:t>
      </w:r>
      <w:proofErr w:type="gramEnd"/>
      <w:r w:rsidR="00756E90">
        <w:rPr>
          <w:sz w:val="24"/>
          <w:szCs w:val="24"/>
          <w:lang w:val="es-ES_tradnl"/>
        </w:rPr>
        <w:t xml:space="preserve"> y 2</w:t>
      </w:r>
      <w:r w:rsidR="00C66D01">
        <w:rPr>
          <w:sz w:val="24"/>
          <w:szCs w:val="24"/>
          <w:lang w:val="es-ES_tradnl"/>
        </w:rPr>
        <w:t>.</w:t>
      </w:r>
      <w:r w:rsidR="00756E90">
        <w:rPr>
          <w:sz w:val="24"/>
          <w:szCs w:val="24"/>
          <w:lang w:val="es-ES_tradnl"/>
        </w:rPr>
        <w:t xml:space="preserve">215 centros especiales de empleo, lo que supone </w:t>
      </w:r>
      <w:r w:rsidR="00E74472">
        <w:rPr>
          <w:sz w:val="24"/>
          <w:szCs w:val="24"/>
          <w:lang w:val="es-ES_tradnl"/>
        </w:rPr>
        <w:t xml:space="preserve">que había </w:t>
      </w:r>
      <w:r w:rsidR="00756E90">
        <w:rPr>
          <w:sz w:val="24"/>
          <w:szCs w:val="24"/>
          <w:lang w:val="es-ES_tradnl"/>
        </w:rPr>
        <w:t xml:space="preserve">un centro especial de empleo </w:t>
      </w:r>
      <w:r w:rsidR="00E74472">
        <w:rPr>
          <w:sz w:val="24"/>
          <w:szCs w:val="24"/>
          <w:lang w:val="es-ES_tradnl"/>
        </w:rPr>
        <w:t>por</w:t>
      </w:r>
      <w:r w:rsidR="00756E90">
        <w:rPr>
          <w:sz w:val="24"/>
          <w:szCs w:val="24"/>
          <w:lang w:val="es-ES_tradnl"/>
        </w:rPr>
        <w:t xml:space="preserve"> cada 209 personas con discapacidad activas. </w:t>
      </w:r>
      <w:r w:rsidR="00E74472">
        <w:rPr>
          <w:sz w:val="24"/>
          <w:szCs w:val="24"/>
          <w:lang w:val="es-ES_tradnl"/>
        </w:rPr>
        <w:t xml:space="preserve">En 2012 había en Castilla y León un total de </w:t>
      </w:r>
      <w:r w:rsidR="00EE08D5" w:rsidRPr="00344991">
        <w:rPr>
          <w:sz w:val="24"/>
          <w:szCs w:val="24"/>
          <w:lang w:val="es-ES_tradnl"/>
        </w:rPr>
        <w:t>29.600</w:t>
      </w:r>
      <w:r w:rsidR="00EE08D5">
        <w:rPr>
          <w:rFonts w:ascii="Arial" w:hAnsi="Arial" w:cs="Arial"/>
          <w:sz w:val="24"/>
          <w:szCs w:val="24"/>
          <w:lang w:eastAsia="en-AU"/>
        </w:rPr>
        <w:t xml:space="preserve"> </w:t>
      </w:r>
      <w:r w:rsidR="00EE08D5">
        <w:rPr>
          <w:sz w:val="24"/>
          <w:szCs w:val="24"/>
          <w:lang w:val="es-ES_tradnl"/>
        </w:rPr>
        <w:t xml:space="preserve">personas con </w:t>
      </w:r>
      <w:proofErr w:type="gramStart"/>
      <w:r w:rsidR="00EE08D5">
        <w:rPr>
          <w:sz w:val="24"/>
          <w:szCs w:val="24"/>
          <w:lang w:val="es-ES_tradnl"/>
        </w:rPr>
        <w:t>discapacidad activas</w:t>
      </w:r>
      <w:proofErr w:type="gramEnd"/>
      <w:r w:rsidR="00EE08D5">
        <w:rPr>
          <w:sz w:val="24"/>
          <w:szCs w:val="24"/>
          <w:lang w:val="es-ES_tradnl"/>
        </w:rPr>
        <w:t xml:space="preserve"> </w:t>
      </w:r>
      <w:r w:rsidR="00E74472">
        <w:rPr>
          <w:sz w:val="24"/>
          <w:szCs w:val="24"/>
          <w:lang w:val="es-ES_tradnl"/>
        </w:rPr>
        <w:t>y 190 centros especiales de empleo, dand</w:t>
      </w:r>
      <w:r w:rsidR="00476FAF">
        <w:rPr>
          <w:sz w:val="24"/>
          <w:szCs w:val="24"/>
          <w:lang w:val="es-ES_tradnl"/>
        </w:rPr>
        <w:t>o lugar a un ratio de un centro</w:t>
      </w:r>
      <w:r w:rsidR="00E74472">
        <w:rPr>
          <w:sz w:val="24"/>
          <w:szCs w:val="24"/>
          <w:lang w:val="es-ES_tradnl"/>
        </w:rPr>
        <w:t xml:space="preserve"> por cada 156 personas con discapa</w:t>
      </w:r>
      <w:r w:rsidR="00476FAF">
        <w:rPr>
          <w:sz w:val="24"/>
          <w:szCs w:val="24"/>
          <w:lang w:val="es-ES_tradnl"/>
        </w:rPr>
        <w:t>cidad activas aproximadamente, su</w:t>
      </w:r>
      <w:r w:rsidR="007F6E20">
        <w:rPr>
          <w:sz w:val="24"/>
          <w:szCs w:val="24"/>
          <w:lang w:val="es-ES_tradnl"/>
        </w:rPr>
        <w:t>perior al ratio de toda España.</w:t>
      </w:r>
    </w:p>
    <w:p w:rsidR="00260A43" w:rsidRDefault="00260A43" w:rsidP="00A53340">
      <w:pPr>
        <w:autoSpaceDE w:val="0"/>
        <w:autoSpaceDN w:val="0"/>
        <w:spacing w:line="360" w:lineRule="auto"/>
        <w:jc w:val="both"/>
        <w:rPr>
          <w:sz w:val="24"/>
          <w:szCs w:val="24"/>
          <w:lang w:val="es-ES_tradnl"/>
        </w:rPr>
      </w:pPr>
    </w:p>
    <w:p w:rsidR="00E12044" w:rsidRDefault="00E12044" w:rsidP="00A53340">
      <w:pPr>
        <w:autoSpaceDE w:val="0"/>
        <w:autoSpaceDN w:val="0"/>
        <w:spacing w:line="360" w:lineRule="auto"/>
        <w:jc w:val="both"/>
        <w:rPr>
          <w:sz w:val="24"/>
          <w:szCs w:val="24"/>
          <w:lang w:val="es-ES_tradnl"/>
        </w:rPr>
      </w:pPr>
      <w:r>
        <w:rPr>
          <w:sz w:val="24"/>
          <w:szCs w:val="24"/>
          <w:lang w:val="es-ES_tradnl"/>
        </w:rPr>
        <w:t>Los datos de empleo por centro para Castilla y León</w:t>
      </w:r>
      <w:r w:rsidR="00C66D01">
        <w:rPr>
          <w:sz w:val="24"/>
          <w:szCs w:val="24"/>
          <w:lang w:val="es-ES_tradnl"/>
        </w:rPr>
        <w:t>, sin embargo,</w:t>
      </w:r>
      <w:r>
        <w:rPr>
          <w:sz w:val="24"/>
          <w:szCs w:val="24"/>
          <w:lang w:val="es-ES_tradnl"/>
        </w:rPr>
        <w:t xml:space="preserve"> son algo inferiores a los datos de empleo </w:t>
      </w:r>
      <w:r w:rsidR="00C66D01">
        <w:rPr>
          <w:sz w:val="24"/>
          <w:szCs w:val="24"/>
          <w:lang w:val="es-ES_tradnl"/>
        </w:rPr>
        <w:t>por centro</w:t>
      </w:r>
      <w:r>
        <w:rPr>
          <w:sz w:val="24"/>
          <w:szCs w:val="24"/>
          <w:lang w:val="es-ES_tradnl"/>
        </w:rPr>
        <w:t xml:space="preserve"> en el conjunto de España. </w:t>
      </w:r>
      <w:r w:rsidR="00263C76">
        <w:rPr>
          <w:sz w:val="24"/>
          <w:szCs w:val="24"/>
          <w:lang w:val="es-ES_tradnl"/>
        </w:rPr>
        <w:t xml:space="preserve">El número medio de trabajadores por centro </w:t>
      </w:r>
      <w:r>
        <w:rPr>
          <w:sz w:val="24"/>
          <w:szCs w:val="24"/>
          <w:lang w:val="es-ES_tradnl"/>
        </w:rPr>
        <w:t xml:space="preserve">especial de empleo </w:t>
      </w:r>
      <w:r w:rsidR="00263C76">
        <w:rPr>
          <w:sz w:val="24"/>
          <w:szCs w:val="24"/>
          <w:lang w:val="es-ES_tradnl"/>
        </w:rPr>
        <w:t xml:space="preserve">para el conjunto de España </w:t>
      </w:r>
      <w:r w:rsidR="00476FAF">
        <w:rPr>
          <w:sz w:val="24"/>
          <w:szCs w:val="24"/>
          <w:lang w:val="es-ES_tradnl"/>
        </w:rPr>
        <w:t xml:space="preserve">en el año 2011 </w:t>
      </w:r>
      <w:r w:rsidR="00263C76">
        <w:rPr>
          <w:sz w:val="24"/>
          <w:szCs w:val="24"/>
          <w:lang w:val="es-ES_tradnl"/>
        </w:rPr>
        <w:t>es de 3</w:t>
      </w:r>
      <w:r w:rsidR="0072245E">
        <w:rPr>
          <w:sz w:val="24"/>
          <w:szCs w:val="24"/>
          <w:lang w:val="es-ES_tradnl"/>
        </w:rPr>
        <w:t>3</w:t>
      </w:r>
      <w:r w:rsidR="00263C76">
        <w:rPr>
          <w:sz w:val="24"/>
          <w:szCs w:val="24"/>
          <w:lang w:val="es-ES_tradnl"/>
        </w:rPr>
        <w:t xml:space="preserve"> trabajadores</w:t>
      </w:r>
      <w:r>
        <w:rPr>
          <w:sz w:val="24"/>
          <w:szCs w:val="24"/>
          <w:lang w:val="es-ES_tradnl"/>
        </w:rPr>
        <w:t xml:space="preserve">, </w:t>
      </w:r>
      <w:r w:rsidR="00030871">
        <w:rPr>
          <w:sz w:val="24"/>
          <w:szCs w:val="24"/>
          <w:lang w:val="es-ES_tradnl"/>
        </w:rPr>
        <w:t xml:space="preserve">mientras que </w:t>
      </w:r>
      <w:r>
        <w:rPr>
          <w:sz w:val="24"/>
          <w:szCs w:val="24"/>
          <w:lang w:val="es-ES_tradnl"/>
        </w:rPr>
        <w:t xml:space="preserve">para Castilla y León es de 27 trabajadores. </w:t>
      </w:r>
      <w:r w:rsidR="00C66D01">
        <w:rPr>
          <w:sz w:val="24"/>
          <w:szCs w:val="24"/>
          <w:lang w:val="es-ES_tradnl"/>
        </w:rPr>
        <w:t>No obstante</w:t>
      </w:r>
      <w:r w:rsidR="0089464E">
        <w:rPr>
          <w:sz w:val="24"/>
          <w:szCs w:val="24"/>
          <w:lang w:val="es-ES_tradnl"/>
        </w:rPr>
        <w:t>, l</w:t>
      </w:r>
      <w:r>
        <w:rPr>
          <w:sz w:val="24"/>
          <w:szCs w:val="24"/>
          <w:lang w:val="es-ES_tradnl"/>
        </w:rPr>
        <w:t>os porcentajes de personas con discapacidad con respecto al total de empleados son similares. De los 33 empleados por centro en el conjunto de España</w:t>
      </w:r>
      <w:r w:rsidR="00476FAF">
        <w:rPr>
          <w:sz w:val="24"/>
          <w:szCs w:val="24"/>
          <w:lang w:val="es-ES_tradnl"/>
        </w:rPr>
        <w:t xml:space="preserve">, </w:t>
      </w:r>
      <w:r w:rsidR="00263C76">
        <w:rPr>
          <w:sz w:val="24"/>
          <w:szCs w:val="24"/>
          <w:lang w:val="es-ES_tradnl"/>
        </w:rPr>
        <w:t xml:space="preserve">una </w:t>
      </w:r>
      <w:r w:rsidR="00263C76">
        <w:rPr>
          <w:sz w:val="24"/>
          <w:szCs w:val="24"/>
          <w:lang w:val="es-ES_tradnl"/>
        </w:rPr>
        <w:lastRenderedPageBreak/>
        <w:t xml:space="preserve">media de </w:t>
      </w:r>
      <w:r>
        <w:rPr>
          <w:sz w:val="24"/>
          <w:szCs w:val="24"/>
          <w:lang w:val="es-ES_tradnl"/>
        </w:rPr>
        <w:t>29</w:t>
      </w:r>
      <w:r w:rsidR="00263C76">
        <w:rPr>
          <w:sz w:val="24"/>
          <w:szCs w:val="24"/>
          <w:lang w:val="es-ES_tradnl"/>
        </w:rPr>
        <w:t xml:space="preserve"> son personas con discapacidad, lo que supone un </w:t>
      </w:r>
      <w:r>
        <w:rPr>
          <w:sz w:val="24"/>
          <w:szCs w:val="24"/>
          <w:lang w:val="es-ES_tradnl"/>
        </w:rPr>
        <w:t>90%</w:t>
      </w:r>
      <w:r w:rsidR="00263C76">
        <w:rPr>
          <w:sz w:val="24"/>
          <w:szCs w:val="24"/>
          <w:lang w:val="es-ES_tradnl"/>
        </w:rPr>
        <w:t xml:space="preserve"> de la plantilla. </w:t>
      </w:r>
      <w:r>
        <w:rPr>
          <w:sz w:val="24"/>
          <w:szCs w:val="24"/>
          <w:lang w:val="es-ES_tradnl"/>
        </w:rPr>
        <w:t xml:space="preserve">Este porcentaje no varía si ponemos la atención en Castilla y León, donde la media de trabajadores por centro especial de empleo </w:t>
      </w:r>
      <w:r w:rsidR="00C927F4">
        <w:rPr>
          <w:sz w:val="24"/>
          <w:szCs w:val="24"/>
          <w:lang w:val="es-ES_tradnl"/>
        </w:rPr>
        <w:t xml:space="preserve">(de la muestra de centros analizados) </w:t>
      </w:r>
      <w:r>
        <w:rPr>
          <w:sz w:val="24"/>
          <w:szCs w:val="24"/>
          <w:lang w:val="es-ES_tradnl"/>
        </w:rPr>
        <w:t>es de 27, de los cuales 24 son personas con discapacidad</w:t>
      </w:r>
    </w:p>
    <w:p w:rsidR="00E12044" w:rsidRDefault="00E12044" w:rsidP="00A53340">
      <w:pPr>
        <w:autoSpaceDE w:val="0"/>
        <w:autoSpaceDN w:val="0"/>
        <w:spacing w:line="360" w:lineRule="auto"/>
        <w:jc w:val="both"/>
        <w:rPr>
          <w:sz w:val="24"/>
          <w:szCs w:val="24"/>
          <w:lang w:val="es-ES_tradnl"/>
        </w:rPr>
      </w:pPr>
    </w:p>
    <w:p w:rsidR="009069E3" w:rsidRDefault="0089464E" w:rsidP="00A53340">
      <w:pPr>
        <w:autoSpaceDE w:val="0"/>
        <w:autoSpaceDN w:val="0"/>
        <w:spacing w:line="360" w:lineRule="auto"/>
        <w:jc w:val="both"/>
        <w:rPr>
          <w:sz w:val="24"/>
          <w:szCs w:val="24"/>
          <w:lang w:val="es-ES_tradnl"/>
        </w:rPr>
      </w:pPr>
      <w:r>
        <w:rPr>
          <w:sz w:val="24"/>
          <w:szCs w:val="24"/>
          <w:lang w:val="es-ES_tradnl"/>
        </w:rPr>
        <w:t>Observamos</w:t>
      </w:r>
      <w:r w:rsidR="00E12044">
        <w:rPr>
          <w:sz w:val="24"/>
          <w:szCs w:val="24"/>
          <w:lang w:val="es-ES_tradnl"/>
        </w:rPr>
        <w:t>,</w:t>
      </w:r>
      <w:r>
        <w:rPr>
          <w:sz w:val="24"/>
          <w:szCs w:val="24"/>
          <w:lang w:val="es-ES_tradnl"/>
        </w:rPr>
        <w:t xml:space="preserve"> por lo tanto,</w:t>
      </w:r>
      <w:r w:rsidR="00E12044">
        <w:rPr>
          <w:sz w:val="24"/>
          <w:szCs w:val="24"/>
          <w:lang w:val="es-ES_tradnl"/>
        </w:rPr>
        <w:t xml:space="preserve"> una mayor atomización en el sector de centros especiales de empleo en Castilla y Leó</w:t>
      </w:r>
      <w:r w:rsidR="00DA21B8">
        <w:rPr>
          <w:sz w:val="24"/>
          <w:szCs w:val="24"/>
          <w:lang w:val="es-ES_tradnl"/>
        </w:rPr>
        <w:t xml:space="preserve">n que en el conjunto de España. Comparado con la media a nivel nacional, </w:t>
      </w:r>
      <w:r w:rsidR="00E12044">
        <w:rPr>
          <w:sz w:val="24"/>
          <w:szCs w:val="24"/>
          <w:lang w:val="es-ES_tradnl"/>
        </w:rPr>
        <w:t>h</w:t>
      </w:r>
      <w:r w:rsidR="00263C76">
        <w:rPr>
          <w:sz w:val="24"/>
          <w:szCs w:val="24"/>
          <w:lang w:val="es-ES_tradnl"/>
        </w:rPr>
        <w:t>ay</w:t>
      </w:r>
      <w:r w:rsidR="00DA21B8">
        <w:rPr>
          <w:sz w:val="24"/>
          <w:szCs w:val="24"/>
          <w:lang w:val="es-ES_tradnl"/>
        </w:rPr>
        <w:t xml:space="preserve"> en Castilla y León</w:t>
      </w:r>
      <w:r w:rsidR="00263C76">
        <w:rPr>
          <w:sz w:val="24"/>
          <w:szCs w:val="24"/>
          <w:lang w:val="es-ES_tradnl"/>
        </w:rPr>
        <w:t xml:space="preserve"> más centros</w:t>
      </w:r>
      <w:r w:rsidR="00E12044">
        <w:rPr>
          <w:sz w:val="24"/>
          <w:szCs w:val="24"/>
          <w:lang w:val="es-ES_tradnl"/>
        </w:rPr>
        <w:t xml:space="preserve"> especiales de empleo</w:t>
      </w:r>
      <w:r w:rsidR="00263C76">
        <w:rPr>
          <w:sz w:val="24"/>
          <w:szCs w:val="24"/>
          <w:lang w:val="es-ES_tradnl"/>
        </w:rPr>
        <w:t xml:space="preserve"> relativos a la población </w:t>
      </w:r>
      <w:r w:rsidR="00E12044">
        <w:rPr>
          <w:sz w:val="24"/>
          <w:szCs w:val="24"/>
          <w:lang w:val="es-ES_tradnl"/>
        </w:rPr>
        <w:t>con discapacidad activa</w:t>
      </w:r>
      <w:r w:rsidR="00DA21B8">
        <w:rPr>
          <w:sz w:val="24"/>
          <w:szCs w:val="24"/>
          <w:lang w:val="es-ES_tradnl"/>
        </w:rPr>
        <w:t xml:space="preserve">, </w:t>
      </w:r>
      <w:r w:rsidR="00263C76">
        <w:rPr>
          <w:sz w:val="24"/>
          <w:szCs w:val="24"/>
          <w:lang w:val="es-ES_tradnl"/>
        </w:rPr>
        <w:t xml:space="preserve">pero sin embargo cada </w:t>
      </w:r>
      <w:r w:rsidR="00DA21B8">
        <w:rPr>
          <w:sz w:val="24"/>
          <w:szCs w:val="24"/>
          <w:lang w:val="es-ES_tradnl"/>
        </w:rPr>
        <w:t xml:space="preserve">uno de los </w:t>
      </w:r>
      <w:r w:rsidR="00263C76">
        <w:rPr>
          <w:sz w:val="24"/>
          <w:szCs w:val="24"/>
          <w:lang w:val="es-ES_tradnl"/>
        </w:rPr>
        <w:t>centro</w:t>
      </w:r>
      <w:r w:rsidR="00DA21B8">
        <w:rPr>
          <w:sz w:val="24"/>
          <w:szCs w:val="24"/>
          <w:lang w:val="es-ES_tradnl"/>
        </w:rPr>
        <w:t>s</w:t>
      </w:r>
      <w:r w:rsidR="00263C76">
        <w:rPr>
          <w:sz w:val="24"/>
          <w:szCs w:val="24"/>
          <w:lang w:val="es-ES_tradnl"/>
        </w:rPr>
        <w:t xml:space="preserve"> emplea, de media, a</w:t>
      </w:r>
      <w:r w:rsidR="00E12044">
        <w:rPr>
          <w:sz w:val="24"/>
          <w:szCs w:val="24"/>
          <w:lang w:val="es-ES_tradnl"/>
        </w:rPr>
        <w:t xml:space="preserve"> </w:t>
      </w:r>
      <w:r w:rsidR="00263C76">
        <w:rPr>
          <w:sz w:val="24"/>
          <w:szCs w:val="24"/>
          <w:lang w:val="es-ES_tradnl"/>
        </w:rPr>
        <w:t>menos personas con discapacidad.</w:t>
      </w:r>
    </w:p>
    <w:p w:rsidR="00C927F4" w:rsidRDefault="00C927F4" w:rsidP="00A53340">
      <w:pPr>
        <w:autoSpaceDE w:val="0"/>
        <w:autoSpaceDN w:val="0"/>
        <w:spacing w:line="360" w:lineRule="auto"/>
        <w:jc w:val="both"/>
        <w:rPr>
          <w:sz w:val="24"/>
          <w:szCs w:val="24"/>
          <w:lang w:val="es-ES_tradnl"/>
        </w:rPr>
      </w:pPr>
    </w:p>
    <w:p w:rsidR="00E12044" w:rsidRDefault="00C927F4" w:rsidP="00A53340">
      <w:pPr>
        <w:autoSpaceDE w:val="0"/>
        <w:autoSpaceDN w:val="0"/>
        <w:spacing w:line="360" w:lineRule="auto"/>
        <w:jc w:val="both"/>
        <w:rPr>
          <w:b/>
          <w:bCs/>
          <w:color w:val="000000" w:themeColor="text1"/>
          <w:sz w:val="20"/>
        </w:rPr>
      </w:pPr>
      <w:r w:rsidRPr="00C927F4">
        <w:rPr>
          <w:b/>
          <w:bCs/>
          <w:color w:val="000000" w:themeColor="text1"/>
          <w:sz w:val="20"/>
        </w:rPr>
        <w:t>Datos agregados de CEEs por Comunidad Autónoma y estimación del número de P</w:t>
      </w:r>
      <w:r w:rsidR="00A26532">
        <w:rPr>
          <w:b/>
          <w:bCs/>
          <w:color w:val="000000" w:themeColor="text1"/>
          <w:sz w:val="20"/>
        </w:rPr>
        <w:t>CD:</w:t>
      </w:r>
    </w:p>
    <w:p w:rsidR="00A26532" w:rsidRPr="00A26532" w:rsidRDefault="00A26532" w:rsidP="00A53340">
      <w:pPr>
        <w:autoSpaceDE w:val="0"/>
        <w:autoSpaceDN w:val="0"/>
        <w:spacing w:line="360" w:lineRule="auto"/>
        <w:jc w:val="both"/>
        <w:rPr>
          <w:b/>
          <w:bCs/>
          <w:color w:val="000000" w:themeColor="text1"/>
          <w:sz w:val="20"/>
        </w:rPr>
      </w:pPr>
    </w:p>
    <w:tbl>
      <w:tblPr>
        <w:tblStyle w:val="Tablaconcuadrcula"/>
        <w:tblW w:w="0" w:type="auto"/>
        <w:tblBorders>
          <w:top w:val="none" w:sz="0" w:space="0" w:color="auto"/>
          <w:left w:val="none" w:sz="0" w:space="0" w:color="auto"/>
          <w:bottom w:val="none" w:sz="0" w:space="0" w:color="auto"/>
          <w:right w:val="none" w:sz="0" w:space="0" w:color="auto"/>
        </w:tblBorders>
        <w:tblLook w:val="04A0"/>
      </w:tblPr>
      <w:tblGrid>
        <w:gridCol w:w="2278"/>
        <w:gridCol w:w="2111"/>
        <w:gridCol w:w="2266"/>
        <w:gridCol w:w="1850"/>
      </w:tblGrid>
      <w:tr w:rsidR="00B245E6" w:rsidTr="00B245E6">
        <w:tc>
          <w:tcPr>
            <w:tcW w:w="2278" w:type="dxa"/>
          </w:tcPr>
          <w:p w:rsidR="00B245E6" w:rsidRPr="00921499" w:rsidRDefault="00B245E6" w:rsidP="00921499">
            <w:pPr>
              <w:autoSpaceDE w:val="0"/>
              <w:autoSpaceDN w:val="0"/>
              <w:spacing w:line="360" w:lineRule="auto"/>
              <w:jc w:val="center"/>
              <w:rPr>
                <w:b/>
                <w:bCs/>
                <w:color w:val="215967"/>
                <w:sz w:val="20"/>
              </w:rPr>
            </w:pPr>
            <w:r w:rsidRPr="00921499">
              <w:rPr>
                <w:b/>
                <w:bCs/>
                <w:color w:val="215967"/>
                <w:sz w:val="20"/>
              </w:rPr>
              <w:t>Comunidad Autónoma</w:t>
            </w:r>
          </w:p>
        </w:tc>
        <w:tc>
          <w:tcPr>
            <w:tcW w:w="2111" w:type="dxa"/>
          </w:tcPr>
          <w:p w:rsidR="00B245E6" w:rsidRPr="00921499" w:rsidRDefault="00B245E6" w:rsidP="00921499">
            <w:pPr>
              <w:autoSpaceDE w:val="0"/>
              <w:autoSpaceDN w:val="0"/>
              <w:spacing w:line="360" w:lineRule="auto"/>
              <w:jc w:val="center"/>
              <w:rPr>
                <w:b/>
                <w:bCs/>
                <w:color w:val="215967"/>
                <w:sz w:val="20"/>
              </w:rPr>
            </w:pPr>
            <w:r w:rsidRPr="00921499">
              <w:rPr>
                <w:b/>
                <w:bCs/>
                <w:color w:val="215967"/>
                <w:sz w:val="20"/>
              </w:rPr>
              <w:t>Número de CEEs</w:t>
            </w:r>
          </w:p>
        </w:tc>
        <w:tc>
          <w:tcPr>
            <w:tcW w:w="2266" w:type="dxa"/>
          </w:tcPr>
          <w:p w:rsidR="00B245E6" w:rsidRPr="00921499" w:rsidRDefault="00B245E6" w:rsidP="007F6E20">
            <w:pPr>
              <w:autoSpaceDE w:val="0"/>
              <w:autoSpaceDN w:val="0"/>
              <w:spacing w:line="360" w:lineRule="auto"/>
              <w:jc w:val="center"/>
              <w:rPr>
                <w:b/>
                <w:bCs/>
                <w:color w:val="215967"/>
                <w:sz w:val="20"/>
              </w:rPr>
            </w:pPr>
            <w:r w:rsidRPr="00921499">
              <w:rPr>
                <w:b/>
                <w:bCs/>
                <w:color w:val="215967"/>
                <w:sz w:val="20"/>
              </w:rPr>
              <w:t xml:space="preserve">Número aproximado de </w:t>
            </w:r>
            <w:r w:rsidR="007F6E20">
              <w:rPr>
                <w:b/>
                <w:bCs/>
                <w:color w:val="215967"/>
                <w:sz w:val="20"/>
              </w:rPr>
              <w:t>PCD</w:t>
            </w:r>
            <w:r w:rsidRPr="00921499">
              <w:rPr>
                <w:b/>
                <w:bCs/>
                <w:color w:val="215967"/>
                <w:sz w:val="20"/>
              </w:rPr>
              <w:t xml:space="preserve"> empleadas en CEEs</w:t>
            </w:r>
          </w:p>
        </w:tc>
        <w:tc>
          <w:tcPr>
            <w:tcW w:w="1850" w:type="dxa"/>
          </w:tcPr>
          <w:p w:rsidR="00B245E6" w:rsidRPr="00921499" w:rsidRDefault="00B245E6" w:rsidP="007F6E20">
            <w:pPr>
              <w:autoSpaceDE w:val="0"/>
              <w:autoSpaceDN w:val="0"/>
              <w:spacing w:line="360" w:lineRule="auto"/>
              <w:jc w:val="center"/>
              <w:rPr>
                <w:b/>
                <w:bCs/>
                <w:color w:val="215967"/>
                <w:sz w:val="20"/>
              </w:rPr>
            </w:pPr>
            <w:r>
              <w:rPr>
                <w:b/>
                <w:bCs/>
                <w:color w:val="215967"/>
                <w:sz w:val="20"/>
              </w:rPr>
              <w:t>Ratio aproxima</w:t>
            </w:r>
            <w:r w:rsidR="007F6E20">
              <w:rPr>
                <w:b/>
                <w:bCs/>
                <w:color w:val="215967"/>
                <w:sz w:val="20"/>
              </w:rPr>
              <w:t xml:space="preserve">do de PCD sobre empleados totales por </w:t>
            </w:r>
            <w:r w:rsidR="00300729">
              <w:rPr>
                <w:b/>
                <w:bCs/>
                <w:color w:val="215967"/>
                <w:sz w:val="20"/>
              </w:rPr>
              <w:t>CEE</w:t>
            </w:r>
          </w:p>
        </w:tc>
      </w:tr>
      <w:tr w:rsidR="00B245E6" w:rsidTr="00065299">
        <w:tc>
          <w:tcPr>
            <w:tcW w:w="2278" w:type="dxa"/>
            <w:vAlign w:val="bottom"/>
          </w:tcPr>
          <w:p w:rsidR="00B245E6" w:rsidRPr="00921499" w:rsidRDefault="00B245E6" w:rsidP="00B245E6">
            <w:pPr>
              <w:rPr>
                <w:rFonts w:ascii="Arial" w:hAnsi="Arial" w:cs="Arial"/>
                <w:bCs/>
                <w:sz w:val="20"/>
                <w:lang w:eastAsia="es-ES"/>
              </w:rPr>
            </w:pPr>
            <w:r>
              <w:rPr>
                <w:rFonts w:ascii="Arial" w:hAnsi="Arial" w:cs="Arial"/>
                <w:bCs/>
                <w:sz w:val="20"/>
              </w:rPr>
              <w:t>Andalucí</w:t>
            </w:r>
            <w:r w:rsidRPr="00921499">
              <w:rPr>
                <w:rFonts w:ascii="Arial" w:hAnsi="Arial" w:cs="Arial"/>
                <w:bCs/>
                <w:sz w:val="20"/>
              </w:rPr>
              <w:t xml:space="preserve">a </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608</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12.146</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20</w:t>
            </w:r>
          </w:p>
        </w:tc>
      </w:tr>
      <w:tr w:rsidR="00B245E6" w:rsidTr="00065299">
        <w:tc>
          <w:tcPr>
            <w:tcW w:w="2278" w:type="dxa"/>
            <w:vAlign w:val="bottom"/>
          </w:tcPr>
          <w:p w:rsidR="00B245E6" w:rsidRPr="00921499" w:rsidRDefault="00B245E6" w:rsidP="00B245E6">
            <w:pPr>
              <w:rPr>
                <w:rFonts w:ascii="Arial" w:hAnsi="Arial" w:cs="Arial"/>
                <w:bCs/>
                <w:sz w:val="20"/>
              </w:rPr>
            </w:pPr>
            <w:r>
              <w:rPr>
                <w:rFonts w:ascii="Arial" w:hAnsi="Arial" w:cs="Arial"/>
                <w:bCs/>
                <w:sz w:val="20"/>
              </w:rPr>
              <w:t>Aragó</w:t>
            </w:r>
            <w:r w:rsidRPr="00921499">
              <w:rPr>
                <w:rFonts w:ascii="Arial" w:hAnsi="Arial" w:cs="Arial"/>
                <w:bCs/>
                <w:sz w:val="20"/>
              </w:rPr>
              <w:t>n</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104</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1.885</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18</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Asturias</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104</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2.069</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20</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Baleares</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30</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725</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24</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Canarias</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62</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1.173</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19</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Cantabria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19</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1.062</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56</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Castilla La Mancha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106</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2.289</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22</w:t>
            </w:r>
          </w:p>
        </w:tc>
      </w:tr>
      <w:tr w:rsidR="00B245E6" w:rsidTr="00065299">
        <w:tc>
          <w:tcPr>
            <w:tcW w:w="2278" w:type="dxa"/>
            <w:vAlign w:val="bottom"/>
          </w:tcPr>
          <w:p w:rsidR="00B245E6" w:rsidRPr="00921499" w:rsidRDefault="00FC10F7" w:rsidP="00B245E6">
            <w:pPr>
              <w:rPr>
                <w:rFonts w:ascii="Arial" w:hAnsi="Arial" w:cs="Arial"/>
                <w:b/>
                <w:bCs/>
                <w:sz w:val="20"/>
              </w:rPr>
            </w:pPr>
            <w:r>
              <w:rPr>
                <w:rFonts w:ascii="Arial" w:hAnsi="Arial" w:cs="Arial"/>
                <w:b/>
                <w:bCs/>
                <w:sz w:val="20"/>
              </w:rPr>
              <w:t>Castilla y</w:t>
            </w:r>
            <w:r w:rsidR="00B245E6">
              <w:rPr>
                <w:rFonts w:ascii="Arial" w:hAnsi="Arial" w:cs="Arial"/>
                <w:b/>
                <w:bCs/>
                <w:sz w:val="20"/>
              </w:rPr>
              <w:t xml:space="preserve"> Leó</w:t>
            </w:r>
            <w:r w:rsidR="00B245E6" w:rsidRPr="00921499">
              <w:rPr>
                <w:rFonts w:ascii="Arial" w:hAnsi="Arial" w:cs="Arial"/>
                <w:b/>
                <w:bCs/>
                <w:sz w:val="20"/>
              </w:rPr>
              <w:t>n</w:t>
            </w:r>
          </w:p>
        </w:tc>
        <w:tc>
          <w:tcPr>
            <w:tcW w:w="2111" w:type="dxa"/>
            <w:vAlign w:val="bottom"/>
          </w:tcPr>
          <w:p w:rsidR="00B245E6" w:rsidRDefault="00B245E6" w:rsidP="00BB1BC1">
            <w:pPr>
              <w:jc w:val="right"/>
              <w:rPr>
                <w:rFonts w:ascii="Arial" w:hAnsi="Arial" w:cs="Arial"/>
                <w:color w:val="000000"/>
                <w:sz w:val="20"/>
              </w:rPr>
            </w:pPr>
            <w:r>
              <w:rPr>
                <w:rFonts w:ascii="Arial" w:hAnsi="Arial" w:cs="Arial"/>
                <w:color w:val="000000"/>
                <w:sz w:val="20"/>
              </w:rPr>
              <w:t>1</w:t>
            </w:r>
            <w:r w:rsidR="00BB1BC1">
              <w:rPr>
                <w:rFonts w:ascii="Arial" w:hAnsi="Arial" w:cs="Arial"/>
                <w:color w:val="000000"/>
                <w:sz w:val="20"/>
              </w:rPr>
              <w:t>85</w:t>
            </w:r>
          </w:p>
        </w:tc>
        <w:tc>
          <w:tcPr>
            <w:tcW w:w="2266" w:type="dxa"/>
            <w:vAlign w:val="bottom"/>
          </w:tcPr>
          <w:p w:rsidR="00B245E6" w:rsidRDefault="00B245E6" w:rsidP="00BB1BC1">
            <w:pPr>
              <w:jc w:val="right"/>
              <w:rPr>
                <w:rFonts w:ascii="Arial" w:hAnsi="Arial" w:cs="Arial"/>
                <w:color w:val="000000"/>
                <w:sz w:val="20"/>
              </w:rPr>
            </w:pPr>
            <w:r>
              <w:rPr>
                <w:rFonts w:ascii="Arial" w:hAnsi="Arial" w:cs="Arial"/>
                <w:color w:val="000000"/>
                <w:sz w:val="20"/>
              </w:rPr>
              <w:t>4.</w:t>
            </w:r>
            <w:r w:rsidR="00BB1BC1">
              <w:rPr>
                <w:rFonts w:ascii="Arial" w:hAnsi="Arial" w:cs="Arial"/>
                <w:color w:val="000000"/>
                <w:sz w:val="20"/>
              </w:rPr>
              <w:t>150</w:t>
            </w:r>
          </w:p>
        </w:tc>
        <w:tc>
          <w:tcPr>
            <w:tcW w:w="1850" w:type="dxa"/>
            <w:vAlign w:val="bottom"/>
          </w:tcPr>
          <w:p w:rsidR="00B245E6" w:rsidRPr="00B245E6" w:rsidRDefault="00B245E6" w:rsidP="00BB1BC1">
            <w:pPr>
              <w:jc w:val="right"/>
              <w:rPr>
                <w:rFonts w:ascii="Arial" w:hAnsi="Arial" w:cs="Arial"/>
                <w:color w:val="000000"/>
                <w:sz w:val="20"/>
              </w:rPr>
            </w:pPr>
            <w:r>
              <w:rPr>
                <w:rFonts w:ascii="Arial" w:hAnsi="Arial" w:cs="Arial"/>
                <w:color w:val="000000"/>
                <w:sz w:val="20"/>
              </w:rPr>
              <w:t>2</w:t>
            </w:r>
            <w:r w:rsidR="00BB1BC1">
              <w:rPr>
                <w:rFonts w:ascii="Arial" w:hAnsi="Arial" w:cs="Arial"/>
                <w:color w:val="000000"/>
                <w:sz w:val="20"/>
              </w:rPr>
              <w:t>2</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Cataluña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215</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12.180</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57</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Comunidad Valenciana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125</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4.035</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32</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Extremadura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118</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1.383</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12</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Galicia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112</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1.870</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17</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Madrid</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204</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9.368</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46</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 xml:space="preserve">Murcia </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43</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931</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22</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 xml:space="preserve">Navarra </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17</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1.283</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75</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La Rioja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30</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508</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17</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Ceuta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4</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56</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14</w:t>
            </w:r>
          </w:p>
        </w:tc>
      </w:tr>
      <w:tr w:rsidR="00B245E6" w:rsidTr="00065299">
        <w:tc>
          <w:tcPr>
            <w:tcW w:w="2278" w:type="dxa"/>
            <w:vAlign w:val="bottom"/>
          </w:tcPr>
          <w:p w:rsidR="00B245E6" w:rsidRPr="00921499" w:rsidRDefault="00B245E6" w:rsidP="00B245E6">
            <w:pPr>
              <w:rPr>
                <w:rFonts w:ascii="Arial" w:hAnsi="Arial" w:cs="Arial"/>
                <w:bCs/>
                <w:sz w:val="20"/>
              </w:rPr>
            </w:pPr>
            <w:r w:rsidRPr="00921499">
              <w:rPr>
                <w:rFonts w:ascii="Arial" w:hAnsi="Arial" w:cs="Arial"/>
                <w:bCs/>
                <w:sz w:val="20"/>
              </w:rPr>
              <w:t>Melilla</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6</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36</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6</w:t>
            </w:r>
          </w:p>
        </w:tc>
      </w:tr>
      <w:tr w:rsidR="00B245E6" w:rsidRPr="00B245E6" w:rsidTr="00065299">
        <w:tc>
          <w:tcPr>
            <w:tcW w:w="2278" w:type="dxa"/>
            <w:vAlign w:val="bottom"/>
          </w:tcPr>
          <w:p w:rsidR="00B245E6" w:rsidRPr="00921499" w:rsidRDefault="00B245E6" w:rsidP="00B245E6">
            <w:pPr>
              <w:rPr>
                <w:rFonts w:ascii="Arial" w:hAnsi="Arial" w:cs="Arial"/>
                <w:bCs/>
                <w:sz w:val="20"/>
              </w:rPr>
            </w:pPr>
            <w:r>
              <w:rPr>
                <w:rFonts w:ascii="Arial" w:hAnsi="Arial" w:cs="Arial"/>
                <w:bCs/>
                <w:sz w:val="20"/>
              </w:rPr>
              <w:t>Paí</w:t>
            </w:r>
            <w:r w:rsidRPr="00921499">
              <w:rPr>
                <w:rFonts w:ascii="Arial" w:hAnsi="Arial" w:cs="Arial"/>
                <w:bCs/>
                <w:sz w:val="20"/>
              </w:rPr>
              <w:t>s Vasco</w:t>
            </w:r>
          </w:p>
        </w:tc>
        <w:tc>
          <w:tcPr>
            <w:tcW w:w="2111" w:type="dxa"/>
            <w:vAlign w:val="bottom"/>
          </w:tcPr>
          <w:p w:rsidR="00B245E6" w:rsidRDefault="00B245E6" w:rsidP="00B245E6">
            <w:pPr>
              <w:jc w:val="right"/>
              <w:rPr>
                <w:rFonts w:ascii="Arial" w:hAnsi="Arial" w:cs="Arial"/>
                <w:color w:val="000000"/>
                <w:sz w:val="20"/>
              </w:rPr>
            </w:pPr>
            <w:r>
              <w:rPr>
                <w:rFonts w:ascii="Arial" w:hAnsi="Arial" w:cs="Arial"/>
                <w:color w:val="000000"/>
                <w:sz w:val="20"/>
              </w:rPr>
              <w:t>94</w:t>
            </w:r>
          </w:p>
        </w:tc>
        <w:tc>
          <w:tcPr>
            <w:tcW w:w="2266" w:type="dxa"/>
            <w:vAlign w:val="bottom"/>
          </w:tcPr>
          <w:p w:rsidR="00B245E6" w:rsidRDefault="00B245E6" w:rsidP="00B245E6">
            <w:pPr>
              <w:jc w:val="right"/>
              <w:rPr>
                <w:rFonts w:ascii="Arial" w:hAnsi="Arial" w:cs="Arial"/>
                <w:color w:val="000000"/>
                <w:sz w:val="20"/>
              </w:rPr>
            </w:pPr>
            <w:r>
              <w:rPr>
                <w:rFonts w:ascii="Arial" w:hAnsi="Arial" w:cs="Arial"/>
                <w:color w:val="000000"/>
                <w:sz w:val="20"/>
              </w:rPr>
              <w:t>7.242</w:t>
            </w:r>
          </w:p>
        </w:tc>
        <w:tc>
          <w:tcPr>
            <w:tcW w:w="1850" w:type="dxa"/>
            <w:vAlign w:val="bottom"/>
          </w:tcPr>
          <w:p w:rsidR="00B245E6" w:rsidRPr="00B245E6" w:rsidRDefault="00B245E6" w:rsidP="00B245E6">
            <w:pPr>
              <w:jc w:val="right"/>
              <w:rPr>
                <w:rFonts w:ascii="Arial" w:hAnsi="Arial" w:cs="Arial"/>
                <w:color w:val="000000"/>
                <w:sz w:val="20"/>
              </w:rPr>
            </w:pPr>
            <w:r w:rsidRPr="00B245E6">
              <w:rPr>
                <w:rFonts w:ascii="Arial" w:hAnsi="Arial" w:cs="Arial"/>
                <w:color w:val="000000"/>
                <w:sz w:val="20"/>
              </w:rPr>
              <w:t>77</w:t>
            </w:r>
          </w:p>
        </w:tc>
      </w:tr>
    </w:tbl>
    <w:p w:rsidR="00DA21B8" w:rsidRDefault="00DA21B8" w:rsidP="00DA21B8">
      <w:pPr>
        <w:autoSpaceDE w:val="0"/>
        <w:autoSpaceDN w:val="0"/>
        <w:spacing w:line="360" w:lineRule="auto"/>
        <w:jc w:val="both"/>
        <w:rPr>
          <w:sz w:val="24"/>
          <w:szCs w:val="24"/>
          <w:lang w:val="es-ES_tradnl"/>
        </w:rPr>
      </w:pPr>
    </w:p>
    <w:p w:rsidR="00BB1BC1" w:rsidRDefault="0089464E" w:rsidP="00A53340">
      <w:pPr>
        <w:autoSpaceDE w:val="0"/>
        <w:autoSpaceDN w:val="0"/>
        <w:spacing w:line="360" w:lineRule="auto"/>
        <w:jc w:val="both"/>
        <w:rPr>
          <w:sz w:val="20"/>
          <w:szCs w:val="24"/>
          <w:lang w:val="es-ES_tradnl"/>
        </w:rPr>
      </w:pPr>
      <w:r w:rsidRPr="00BB1BC1">
        <w:rPr>
          <w:sz w:val="20"/>
          <w:szCs w:val="24"/>
          <w:lang w:val="es-ES_tradnl"/>
        </w:rPr>
        <w:t>*</w:t>
      </w:r>
      <w:r w:rsidR="00BB1BC1" w:rsidRPr="00BB1BC1">
        <w:rPr>
          <w:sz w:val="20"/>
          <w:szCs w:val="24"/>
          <w:lang w:val="es-ES_tradnl"/>
        </w:rPr>
        <w:t>Los datos</w:t>
      </w:r>
      <w:r w:rsidR="00C927F4" w:rsidRPr="00BB1BC1">
        <w:rPr>
          <w:sz w:val="20"/>
          <w:szCs w:val="24"/>
          <w:lang w:val="es-ES_tradnl"/>
        </w:rPr>
        <w:t xml:space="preserve"> corresponden a 2011.</w:t>
      </w:r>
      <w:r w:rsidR="006404EC">
        <w:rPr>
          <w:sz w:val="20"/>
          <w:szCs w:val="24"/>
          <w:lang w:val="es-ES_tradnl"/>
        </w:rPr>
        <w:t xml:space="preserve"> </w:t>
      </w:r>
    </w:p>
    <w:p w:rsidR="00A26532" w:rsidRPr="00A26532" w:rsidRDefault="00A26532" w:rsidP="00A53340">
      <w:pPr>
        <w:autoSpaceDE w:val="0"/>
        <w:autoSpaceDN w:val="0"/>
        <w:spacing w:line="360" w:lineRule="auto"/>
        <w:jc w:val="both"/>
        <w:rPr>
          <w:sz w:val="20"/>
          <w:szCs w:val="24"/>
          <w:lang w:val="es-ES_tradnl"/>
        </w:rPr>
      </w:pPr>
      <w:r>
        <w:rPr>
          <w:sz w:val="20"/>
          <w:szCs w:val="24"/>
          <w:lang w:val="es-ES_tradnl"/>
        </w:rPr>
        <w:t>Fuente: SEPE</w:t>
      </w:r>
    </w:p>
    <w:p w:rsidR="00BE2AF9" w:rsidRDefault="00BE2AF9" w:rsidP="00BE2AF9">
      <w:pPr>
        <w:pStyle w:val="Ttulo1"/>
        <w:rPr>
          <w:lang w:val="es-ES_tradnl"/>
        </w:rPr>
      </w:pPr>
      <w:bookmarkStart w:id="221" w:name="_Toc397357145"/>
      <w:bookmarkStart w:id="222" w:name="_Toc410916868"/>
      <w:r w:rsidRPr="00BE20A7">
        <w:rPr>
          <w:lang w:val="es-ES_tradnl"/>
        </w:rPr>
        <w:lastRenderedPageBreak/>
        <w:t xml:space="preserve">Modelo de </w:t>
      </w:r>
      <w:r>
        <w:rPr>
          <w:lang w:val="es-ES_tradnl"/>
        </w:rPr>
        <w:t xml:space="preserve">análisis cuantitativo </w:t>
      </w:r>
      <w:r w:rsidRPr="00BE20A7">
        <w:rPr>
          <w:lang w:val="es-ES_tradnl"/>
        </w:rPr>
        <w:t xml:space="preserve">de los </w:t>
      </w:r>
      <w:r w:rsidR="00263316">
        <w:rPr>
          <w:lang w:val="es-ES_tradnl"/>
        </w:rPr>
        <w:t>Centros Especiales de Empleo</w:t>
      </w:r>
      <w:r w:rsidRPr="00BE20A7">
        <w:rPr>
          <w:lang w:val="es-ES_tradnl"/>
        </w:rPr>
        <w:t xml:space="preserve"> de Castilla y León</w:t>
      </w:r>
      <w:bookmarkEnd w:id="221"/>
      <w:bookmarkEnd w:id="222"/>
    </w:p>
    <w:p w:rsidR="00BE2AF9" w:rsidRPr="00BE20A7" w:rsidRDefault="00BE2AF9" w:rsidP="00BE2AF9">
      <w:pPr>
        <w:pStyle w:val="Prrafodelista"/>
        <w:spacing w:line="360" w:lineRule="auto"/>
        <w:ind w:left="57"/>
        <w:jc w:val="both"/>
        <w:rPr>
          <w:b/>
          <w:sz w:val="28"/>
          <w:szCs w:val="28"/>
          <w:lang w:val="es-ES_tradnl"/>
        </w:rPr>
      </w:pPr>
    </w:p>
    <w:p w:rsidR="00BE2AF9" w:rsidRPr="00BE20A7" w:rsidRDefault="00BE2AF9" w:rsidP="00BE2AF9">
      <w:pPr>
        <w:pStyle w:val="Prrafodelista"/>
        <w:spacing w:line="360" w:lineRule="auto"/>
        <w:ind w:left="57"/>
        <w:jc w:val="both"/>
        <w:rPr>
          <w:sz w:val="24"/>
          <w:szCs w:val="24"/>
          <w:lang w:val="es-ES_tradnl"/>
        </w:rPr>
      </w:pPr>
      <w:r w:rsidRPr="00BE20A7">
        <w:rPr>
          <w:sz w:val="24"/>
          <w:szCs w:val="24"/>
          <w:lang w:val="es-ES_tradnl"/>
        </w:rPr>
        <w:t xml:space="preserve">La metodología aplicada a los </w:t>
      </w:r>
      <w:r w:rsidR="001D5F1C">
        <w:rPr>
          <w:sz w:val="24"/>
          <w:szCs w:val="24"/>
          <w:lang w:val="es-ES_tradnl"/>
        </w:rPr>
        <w:t>centro</w:t>
      </w:r>
      <w:r w:rsidR="00263316">
        <w:rPr>
          <w:sz w:val="24"/>
          <w:szCs w:val="24"/>
          <w:lang w:val="es-ES_tradnl"/>
        </w:rPr>
        <w:t>s</w:t>
      </w:r>
      <w:r w:rsidRPr="00BE20A7">
        <w:rPr>
          <w:sz w:val="24"/>
          <w:szCs w:val="24"/>
          <w:lang w:val="es-ES_tradnl"/>
        </w:rPr>
        <w:t xml:space="preserve"> </w:t>
      </w:r>
      <w:r w:rsidR="001D5F1C">
        <w:rPr>
          <w:sz w:val="24"/>
          <w:szCs w:val="24"/>
          <w:lang w:val="es-ES_tradnl"/>
        </w:rPr>
        <w:t xml:space="preserve">especiales de empleo </w:t>
      </w:r>
      <w:r w:rsidRPr="00BE20A7">
        <w:rPr>
          <w:sz w:val="24"/>
          <w:szCs w:val="24"/>
          <w:lang w:val="es-ES_tradnl"/>
        </w:rPr>
        <w:t>evalúa tres ámbitos relativos al modelo de negocio y de gestión:</w:t>
      </w:r>
    </w:p>
    <w:p w:rsidR="00BE2AF9" w:rsidRPr="00BE20A7" w:rsidRDefault="00BE2AF9" w:rsidP="00BE2AF9">
      <w:pPr>
        <w:pStyle w:val="Prrafodelista"/>
        <w:spacing w:line="360" w:lineRule="auto"/>
        <w:ind w:left="57"/>
        <w:jc w:val="both"/>
        <w:rPr>
          <w:sz w:val="24"/>
          <w:szCs w:val="24"/>
          <w:lang w:val="es-ES_tradnl"/>
        </w:rPr>
      </w:pPr>
    </w:p>
    <w:p w:rsidR="00BE2AF9" w:rsidRPr="00BE20A7" w:rsidRDefault="00BE2AF9" w:rsidP="00BE2AF9">
      <w:pPr>
        <w:pStyle w:val="Prrafodelista"/>
        <w:numPr>
          <w:ilvl w:val="0"/>
          <w:numId w:val="31"/>
        </w:numPr>
        <w:tabs>
          <w:tab w:val="clear" w:pos="340"/>
          <w:tab w:val="num" w:pos="397"/>
        </w:tabs>
        <w:spacing w:line="360" w:lineRule="auto"/>
        <w:ind w:left="397"/>
        <w:jc w:val="both"/>
        <w:rPr>
          <w:sz w:val="24"/>
          <w:szCs w:val="24"/>
          <w:lang w:val="es-ES_tradnl"/>
        </w:rPr>
      </w:pPr>
      <w:r w:rsidRPr="00BE20A7">
        <w:rPr>
          <w:sz w:val="24"/>
          <w:szCs w:val="24"/>
          <w:lang w:val="es-ES_tradnl"/>
        </w:rPr>
        <w:t xml:space="preserve">Evaluación financiera: cuyo objetivo es identificar a los </w:t>
      </w:r>
      <w:r w:rsidR="001D5F1C">
        <w:rPr>
          <w:sz w:val="24"/>
          <w:szCs w:val="24"/>
          <w:lang w:val="es-ES_tradnl"/>
        </w:rPr>
        <w:t>centro</w:t>
      </w:r>
      <w:r w:rsidR="009F5192">
        <w:rPr>
          <w:sz w:val="24"/>
          <w:szCs w:val="24"/>
          <w:lang w:val="es-ES_tradnl"/>
        </w:rPr>
        <w:t>s</w:t>
      </w:r>
      <w:r w:rsidRPr="00BE20A7">
        <w:rPr>
          <w:sz w:val="24"/>
          <w:szCs w:val="24"/>
          <w:lang w:val="es-ES_tradnl"/>
        </w:rPr>
        <w:t xml:space="preserve"> más robustos en este ámbito.</w:t>
      </w:r>
    </w:p>
    <w:p w:rsidR="00BE2AF9" w:rsidRPr="00BE20A7" w:rsidRDefault="00BE2AF9" w:rsidP="00BE2AF9">
      <w:pPr>
        <w:pStyle w:val="Prrafodelista"/>
        <w:numPr>
          <w:ilvl w:val="0"/>
          <w:numId w:val="31"/>
        </w:numPr>
        <w:tabs>
          <w:tab w:val="clear" w:pos="340"/>
          <w:tab w:val="num" w:pos="397"/>
        </w:tabs>
        <w:spacing w:line="360" w:lineRule="auto"/>
        <w:ind w:left="397"/>
        <w:jc w:val="both"/>
        <w:rPr>
          <w:sz w:val="24"/>
          <w:szCs w:val="24"/>
          <w:lang w:val="es-ES_tradnl"/>
        </w:rPr>
      </w:pPr>
      <w:r w:rsidRPr="00BE20A7">
        <w:rPr>
          <w:sz w:val="24"/>
          <w:szCs w:val="24"/>
          <w:lang w:val="es-ES_tradnl"/>
        </w:rPr>
        <w:t xml:space="preserve">Evaluación de la posición competitiva: cuya finalidad es evaluar el potencial competitivo de los </w:t>
      </w:r>
      <w:r w:rsidR="001D5F1C">
        <w:rPr>
          <w:sz w:val="24"/>
          <w:szCs w:val="24"/>
          <w:lang w:val="es-ES_tradnl"/>
        </w:rPr>
        <w:t>centro</w:t>
      </w:r>
      <w:r w:rsidR="009F5192">
        <w:rPr>
          <w:sz w:val="24"/>
          <w:szCs w:val="24"/>
          <w:lang w:val="es-ES_tradnl"/>
        </w:rPr>
        <w:t>s</w:t>
      </w:r>
      <w:r w:rsidRPr="00BE20A7">
        <w:rPr>
          <w:sz w:val="24"/>
          <w:szCs w:val="24"/>
          <w:lang w:val="es-ES_tradnl"/>
        </w:rPr>
        <w:t xml:space="preserve"> en función, entre otros, de su sector de actividad.</w:t>
      </w:r>
    </w:p>
    <w:p w:rsidR="00BE2AF9" w:rsidRPr="00BE20A7" w:rsidRDefault="00BE2AF9" w:rsidP="00BE2AF9">
      <w:pPr>
        <w:pStyle w:val="Prrafodelista"/>
        <w:numPr>
          <w:ilvl w:val="0"/>
          <w:numId w:val="31"/>
        </w:numPr>
        <w:tabs>
          <w:tab w:val="clear" w:pos="340"/>
          <w:tab w:val="num" w:pos="397"/>
        </w:tabs>
        <w:spacing w:line="360" w:lineRule="auto"/>
        <w:ind w:left="397"/>
        <w:jc w:val="both"/>
        <w:rPr>
          <w:sz w:val="24"/>
          <w:szCs w:val="24"/>
          <w:lang w:val="es-ES_tradnl"/>
        </w:rPr>
      </w:pPr>
      <w:r w:rsidRPr="00BE20A7">
        <w:rPr>
          <w:sz w:val="24"/>
          <w:szCs w:val="24"/>
          <w:lang w:val="es-ES_tradnl"/>
        </w:rPr>
        <w:t xml:space="preserve">Evaluación del impacto social: cuyo objetivo es determinar el impacto social positivo de los </w:t>
      </w:r>
      <w:r w:rsidR="001D5F1C">
        <w:rPr>
          <w:sz w:val="24"/>
          <w:szCs w:val="24"/>
          <w:lang w:val="es-ES_tradnl"/>
        </w:rPr>
        <w:t>centro</w:t>
      </w:r>
      <w:r w:rsidR="009F5192">
        <w:rPr>
          <w:sz w:val="24"/>
          <w:szCs w:val="24"/>
          <w:lang w:val="es-ES_tradnl"/>
        </w:rPr>
        <w:t>s</w:t>
      </w:r>
      <w:r w:rsidRPr="00BE20A7">
        <w:rPr>
          <w:sz w:val="24"/>
          <w:szCs w:val="24"/>
          <w:lang w:val="es-ES_tradnl"/>
        </w:rPr>
        <w:t xml:space="preserve"> en el colectivo de personas con discapacidad.</w:t>
      </w:r>
    </w:p>
    <w:p w:rsidR="00BE2AF9" w:rsidRPr="00BE20A7" w:rsidRDefault="00BE2AF9" w:rsidP="00BE2AF9">
      <w:pPr>
        <w:pStyle w:val="Prrafodelista"/>
        <w:spacing w:line="360" w:lineRule="auto"/>
        <w:ind w:left="57"/>
        <w:jc w:val="both"/>
        <w:rPr>
          <w:sz w:val="24"/>
          <w:szCs w:val="24"/>
          <w:lang w:val="es-ES_tradnl"/>
        </w:rPr>
      </w:pPr>
    </w:p>
    <w:p w:rsidR="00BE2AF9" w:rsidRPr="00BE20A7" w:rsidRDefault="00BE2AF9" w:rsidP="00BE2AF9">
      <w:pPr>
        <w:pStyle w:val="Prrafodelista"/>
        <w:spacing w:line="360" w:lineRule="auto"/>
        <w:ind w:left="57"/>
        <w:jc w:val="both"/>
        <w:rPr>
          <w:sz w:val="24"/>
          <w:szCs w:val="24"/>
          <w:lang w:val="es-ES_tradnl"/>
        </w:rPr>
      </w:pPr>
      <w:r w:rsidRPr="00BE20A7">
        <w:rPr>
          <w:sz w:val="24"/>
          <w:szCs w:val="24"/>
          <w:lang w:val="es-ES_tradnl"/>
        </w:rPr>
        <w:t xml:space="preserve">Las dos primeras dimensiones (financiera y posición competitiva) constituyen lo que hemos denominado valor añadido económico de los </w:t>
      </w:r>
      <w:r w:rsidR="000D4030">
        <w:rPr>
          <w:sz w:val="24"/>
          <w:szCs w:val="24"/>
          <w:lang w:val="es-ES_tradnl"/>
        </w:rPr>
        <w:t>centro</w:t>
      </w:r>
      <w:r w:rsidR="00263316">
        <w:rPr>
          <w:sz w:val="24"/>
          <w:szCs w:val="24"/>
          <w:lang w:val="es-ES_tradnl"/>
        </w:rPr>
        <w:t>s</w:t>
      </w:r>
      <w:r w:rsidRPr="00BE20A7">
        <w:rPr>
          <w:sz w:val="24"/>
          <w:szCs w:val="24"/>
          <w:lang w:val="es-ES_tradnl"/>
        </w:rPr>
        <w:t xml:space="preserve">, mientras que la tercera dimensión determinará su valor añadido social. </w:t>
      </w:r>
    </w:p>
    <w:p w:rsidR="00BE2AF9" w:rsidRPr="00BE20A7" w:rsidRDefault="00BE2AF9" w:rsidP="00BE2AF9">
      <w:pPr>
        <w:pStyle w:val="Prrafodelista"/>
        <w:spacing w:line="360" w:lineRule="auto"/>
        <w:ind w:left="57"/>
        <w:jc w:val="both"/>
        <w:rPr>
          <w:sz w:val="24"/>
          <w:szCs w:val="24"/>
          <w:lang w:val="es-ES_tradnl"/>
        </w:rPr>
      </w:pPr>
    </w:p>
    <w:p w:rsidR="00BE2AF9" w:rsidRPr="00BE20A7" w:rsidRDefault="00BE2AF9" w:rsidP="00BE2AF9">
      <w:pPr>
        <w:pStyle w:val="Prrafodelista"/>
        <w:spacing w:line="360" w:lineRule="auto"/>
        <w:ind w:left="57"/>
        <w:jc w:val="both"/>
        <w:rPr>
          <w:sz w:val="24"/>
          <w:szCs w:val="24"/>
          <w:lang w:val="es-ES_tradnl"/>
        </w:rPr>
      </w:pPr>
      <w:r w:rsidRPr="00BE20A7">
        <w:rPr>
          <w:sz w:val="24"/>
          <w:szCs w:val="24"/>
          <w:lang w:val="es-ES_tradnl"/>
        </w:rPr>
        <w:t xml:space="preserve">El modelo está adaptado a la información disponible en fuente pública y en los registros oficiales. Se trata de una metodología sencilla, poco intrusiva y fácilmente replicable que permite señalar a los </w:t>
      </w:r>
      <w:r w:rsidR="000D4030">
        <w:rPr>
          <w:sz w:val="24"/>
          <w:szCs w:val="24"/>
          <w:lang w:val="es-ES_tradnl"/>
        </w:rPr>
        <w:t>centro</w:t>
      </w:r>
      <w:r w:rsidR="00263316">
        <w:rPr>
          <w:sz w:val="24"/>
          <w:szCs w:val="24"/>
          <w:lang w:val="es-ES_tradnl"/>
        </w:rPr>
        <w:t>s</w:t>
      </w:r>
      <w:r w:rsidR="000D4030">
        <w:rPr>
          <w:sz w:val="24"/>
          <w:szCs w:val="24"/>
          <w:lang w:val="es-ES_tradnl"/>
        </w:rPr>
        <w:t xml:space="preserve"> especiales de empleo</w:t>
      </w:r>
      <w:r w:rsidRPr="00BE20A7">
        <w:rPr>
          <w:sz w:val="24"/>
          <w:szCs w:val="24"/>
          <w:lang w:val="es-ES_tradnl"/>
        </w:rPr>
        <w:t xml:space="preserve"> de mayor capacidad transformadora en Castilla y León. Se trata de una metodología orientada a premiar y no a enjuiciar la calidad de gestión de los </w:t>
      </w:r>
      <w:r w:rsidR="000D4030">
        <w:rPr>
          <w:sz w:val="24"/>
          <w:szCs w:val="24"/>
          <w:lang w:val="es-ES_tradnl"/>
        </w:rPr>
        <w:t xml:space="preserve">centros </w:t>
      </w:r>
      <w:r w:rsidRPr="00BE20A7">
        <w:rPr>
          <w:sz w:val="24"/>
          <w:szCs w:val="24"/>
          <w:lang w:val="es-ES_tradnl"/>
        </w:rPr>
        <w:t>ni su capacidad transformadora.</w:t>
      </w:r>
    </w:p>
    <w:p w:rsidR="00BE2AF9" w:rsidRPr="00BE20A7" w:rsidRDefault="00BE2AF9" w:rsidP="00BE2AF9">
      <w:pPr>
        <w:pStyle w:val="Prrafodelista"/>
        <w:spacing w:line="360" w:lineRule="auto"/>
        <w:ind w:left="57"/>
        <w:jc w:val="both"/>
        <w:rPr>
          <w:sz w:val="24"/>
          <w:szCs w:val="24"/>
          <w:lang w:val="es-ES_tradnl"/>
        </w:rPr>
      </w:pPr>
    </w:p>
    <w:p w:rsidR="00BE2AF9" w:rsidRPr="00BE20A7" w:rsidRDefault="00BE2AF9" w:rsidP="00BE2AF9">
      <w:pPr>
        <w:pStyle w:val="Prrafodelista"/>
        <w:spacing w:line="360" w:lineRule="auto"/>
        <w:ind w:left="57"/>
        <w:jc w:val="both"/>
        <w:rPr>
          <w:sz w:val="24"/>
          <w:szCs w:val="24"/>
          <w:lang w:val="es-ES_tradnl"/>
        </w:rPr>
      </w:pPr>
      <w:r w:rsidRPr="00BE20A7">
        <w:rPr>
          <w:sz w:val="24"/>
          <w:szCs w:val="24"/>
          <w:lang w:val="es-ES_tradnl"/>
        </w:rPr>
        <w:t xml:space="preserve">La metodología, basada en indicadores clave, permite identificar los </w:t>
      </w:r>
      <w:r w:rsidR="000D4030">
        <w:rPr>
          <w:sz w:val="24"/>
          <w:szCs w:val="24"/>
          <w:lang w:val="es-ES_tradnl"/>
        </w:rPr>
        <w:t>centro</w:t>
      </w:r>
      <w:r w:rsidR="00263316">
        <w:rPr>
          <w:sz w:val="24"/>
          <w:szCs w:val="24"/>
          <w:lang w:val="es-ES_tradnl"/>
        </w:rPr>
        <w:t>s</w:t>
      </w:r>
      <w:r w:rsidRPr="00BE20A7">
        <w:rPr>
          <w:sz w:val="24"/>
          <w:szCs w:val="24"/>
          <w:lang w:val="es-ES_tradnl"/>
        </w:rPr>
        <w:t xml:space="preserve"> sobresalientes en términos de su gestión, de su potencial y de su impacto social en el colectivo de personas con discapacidad. Este trabajo de identificación permite reconocer y extender buenas prácticas y definir acciones que contribuyan al sostenimiento, crecimiento, desarrollo y reconocimiento por el mercado del conjunto del sector.</w:t>
      </w:r>
      <w:bookmarkStart w:id="223" w:name="_Toc379964988"/>
      <w:r w:rsidRPr="00BE20A7">
        <w:rPr>
          <w:sz w:val="24"/>
          <w:szCs w:val="24"/>
          <w:lang w:val="es-ES_tradnl"/>
        </w:rPr>
        <w:t xml:space="preserve"> </w:t>
      </w:r>
      <w:bookmarkEnd w:id="223"/>
    </w:p>
    <w:p w:rsidR="00BE2AF9" w:rsidRPr="00BE20A7" w:rsidRDefault="00BE2AF9" w:rsidP="00BE2AF9">
      <w:pPr>
        <w:pStyle w:val="Prrafodelista"/>
        <w:spacing w:line="360" w:lineRule="auto"/>
        <w:ind w:left="57"/>
        <w:jc w:val="both"/>
        <w:rPr>
          <w:sz w:val="24"/>
          <w:szCs w:val="24"/>
          <w:lang w:val="es-ES_tradnl"/>
        </w:rPr>
      </w:pPr>
    </w:p>
    <w:p w:rsidR="00BE2AF9" w:rsidRPr="00BE20A7" w:rsidRDefault="00BE2AF9" w:rsidP="00BE2AF9">
      <w:pPr>
        <w:pStyle w:val="Prrafodelista"/>
        <w:spacing w:line="360" w:lineRule="auto"/>
        <w:ind w:left="0"/>
        <w:jc w:val="both"/>
        <w:rPr>
          <w:sz w:val="24"/>
          <w:szCs w:val="24"/>
          <w:lang w:val="es-ES_tradnl"/>
        </w:rPr>
      </w:pPr>
      <w:r w:rsidRPr="00BE20A7">
        <w:rPr>
          <w:sz w:val="24"/>
          <w:szCs w:val="24"/>
          <w:lang w:val="es-ES_tradnl"/>
        </w:rPr>
        <w:lastRenderedPageBreak/>
        <w:t xml:space="preserve">Hemos aplicado la metodología a una muestra de </w:t>
      </w:r>
      <w:r w:rsidR="007D4800">
        <w:rPr>
          <w:sz w:val="24"/>
          <w:szCs w:val="24"/>
          <w:lang w:val="es-ES_tradnl"/>
        </w:rPr>
        <w:t xml:space="preserve">169 </w:t>
      </w:r>
      <w:r w:rsidR="000D4030">
        <w:rPr>
          <w:sz w:val="24"/>
          <w:szCs w:val="24"/>
          <w:lang w:val="es-ES_tradnl"/>
        </w:rPr>
        <w:t xml:space="preserve">centros, </w:t>
      </w:r>
      <w:r w:rsidR="00065299">
        <w:rPr>
          <w:sz w:val="24"/>
          <w:szCs w:val="24"/>
          <w:lang w:val="es-ES_tradnl"/>
        </w:rPr>
        <w:t>que suman alrededor del 95</w:t>
      </w:r>
      <w:r w:rsidRPr="00BE20A7">
        <w:rPr>
          <w:sz w:val="24"/>
          <w:szCs w:val="24"/>
          <w:lang w:val="es-ES_tradnl"/>
        </w:rPr>
        <w:t xml:space="preserve">% del empleo de personas con discapacidad en los </w:t>
      </w:r>
      <w:r w:rsidR="000D4030">
        <w:rPr>
          <w:sz w:val="24"/>
          <w:szCs w:val="24"/>
          <w:lang w:val="es-ES_tradnl"/>
        </w:rPr>
        <w:t>centro</w:t>
      </w:r>
      <w:r w:rsidR="009F5192">
        <w:rPr>
          <w:sz w:val="24"/>
          <w:szCs w:val="24"/>
          <w:lang w:val="es-ES_tradnl"/>
        </w:rPr>
        <w:t>s</w:t>
      </w:r>
      <w:r w:rsidR="000D4030">
        <w:rPr>
          <w:sz w:val="24"/>
          <w:szCs w:val="24"/>
          <w:lang w:val="es-ES_tradnl"/>
        </w:rPr>
        <w:t xml:space="preserve"> especiales de empleo</w:t>
      </w:r>
      <w:r w:rsidRPr="00BE20A7">
        <w:rPr>
          <w:sz w:val="24"/>
          <w:szCs w:val="24"/>
          <w:lang w:val="es-ES_tradnl"/>
        </w:rPr>
        <w:t xml:space="preserve"> de Castilla y León, </w:t>
      </w:r>
      <w:r>
        <w:rPr>
          <w:sz w:val="24"/>
          <w:szCs w:val="24"/>
          <w:lang w:val="es-ES_tradnl"/>
        </w:rPr>
        <w:t xml:space="preserve">al eliminar algunos </w:t>
      </w:r>
      <w:r w:rsidR="000D4030">
        <w:rPr>
          <w:sz w:val="24"/>
          <w:szCs w:val="24"/>
          <w:lang w:val="es-ES_tradnl"/>
        </w:rPr>
        <w:t>centros</w:t>
      </w:r>
      <w:r w:rsidRPr="00BE20A7">
        <w:rPr>
          <w:sz w:val="24"/>
          <w:szCs w:val="24"/>
          <w:lang w:val="es-ES_tradnl"/>
        </w:rPr>
        <w:t xml:space="preserve"> por problemas </w:t>
      </w:r>
      <w:r w:rsidR="00D80F80">
        <w:rPr>
          <w:sz w:val="24"/>
          <w:szCs w:val="24"/>
          <w:lang w:val="es-ES_tradnl"/>
        </w:rPr>
        <w:t>de disponibilidad de la información.</w:t>
      </w:r>
    </w:p>
    <w:p w:rsidR="00BE2AF9" w:rsidRPr="00BE20A7" w:rsidRDefault="00BE2AF9" w:rsidP="00BE2AF9">
      <w:pPr>
        <w:jc w:val="both"/>
        <w:rPr>
          <w:sz w:val="24"/>
          <w:szCs w:val="24"/>
          <w:lang w:val="es-ES_tradnl"/>
        </w:rPr>
      </w:pPr>
    </w:p>
    <w:p w:rsidR="00BE2AF9" w:rsidRDefault="00BE2AF9" w:rsidP="007D4800">
      <w:pPr>
        <w:spacing w:line="360" w:lineRule="auto"/>
        <w:jc w:val="both"/>
        <w:rPr>
          <w:sz w:val="24"/>
          <w:szCs w:val="24"/>
          <w:lang w:val="es-ES_tradnl"/>
        </w:rPr>
      </w:pPr>
      <w:r w:rsidRPr="00BE20A7">
        <w:rPr>
          <w:sz w:val="24"/>
          <w:szCs w:val="24"/>
          <w:lang w:val="es-ES_tradnl"/>
        </w:rPr>
        <w:t xml:space="preserve">Los indicadores utilizados se dividen en las tres dimensiones anteriormente indicadas: solidez financiera, posición competitiva e impacto social. </w:t>
      </w:r>
    </w:p>
    <w:p w:rsidR="00BE2AF9" w:rsidRDefault="00BE2AF9" w:rsidP="00BE2AF9">
      <w:pPr>
        <w:jc w:val="both"/>
        <w:rPr>
          <w:sz w:val="24"/>
          <w:szCs w:val="24"/>
          <w:lang w:val="es-ES_tradnl"/>
        </w:rPr>
      </w:pPr>
    </w:p>
    <w:p w:rsidR="00BE2AF9" w:rsidRDefault="00BE2AF9" w:rsidP="00BE2AF9">
      <w:pPr>
        <w:spacing w:line="360" w:lineRule="auto"/>
        <w:jc w:val="both"/>
        <w:rPr>
          <w:sz w:val="24"/>
          <w:szCs w:val="24"/>
          <w:lang w:val="es-ES_tradnl"/>
        </w:rPr>
      </w:pPr>
      <w:r w:rsidRPr="00BE20A7">
        <w:rPr>
          <w:sz w:val="24"/>
          <w:szCs w:val="24"/>
          <w:lang w:val="es-ES_tradnl"/>
        </w:rPr>
        <w:t>Cada dimensión se ha ponderado de manera distinta en el cómputo de la puntuación global, siendo la ponderación del ámbito financiero un 40% de la puntuación total, la de la posición competitiva un 15% y la ponderación del impacto social un 45% de la puntuación total.</w:t>
      </w:r>
      <w:r>
        <w:rPr>
          <w:sz w:val="24"/>
          <w:szCs w:val="24"/>
          <w:lang w:val="es-ES_tradnl"/>
        </w:rPr>
        <w:t xml:space="preserve"> </w:t>
      </w:r>
      <w:r w:rsidRPr="00BE20A7">
        <w:rPr>
          <w:sz w:val="24"/>
          <w:szCs w:val="24"/>
          <w:lang w:val="es-ES_tradnl"/>
        </w:rPr>
        <w:t xml:space="preserve">Es importante considerar el desempeño de los </w:t>
      </w:r>
      <w:r w:rsidR="009F5192">
        <w:rPr>
          <w:sz w:val="24"/>
          <w:szCs w:val="24"/>
          <w:lang w:val="es-ES_tradnl"/>
        </w:rPr>
        <w:t>CEEs</w:t>
      </w:r>
      <w:r w:rsidRPr="00BE20A7">
        <w:rPr>
          <w:sz w:val="24"/>
          <w:szCs w:val="24"/>
          <w:lang w:val="es-ES_tradnl"/>
        </w:rPr>
        <w:t xml:space="preserve"> en el ámbito de posición competitiva como parte del análisis porque ofrece una visión sobre </w:t>
      </w:r>
      <w:r w:rsidR="000E6836">
        <w:rPr>
          <w:sz w:val="24"/>
          <w:szCs w:val="24"/>
          <w:lang w:val="es-ES_tradnl"/>
        </w:rPr>
        <w:t xml:space="preserve">su </w:t>
      </w:r>
      <w:r w:rsidRPr="00BE20A7">
        <w:rPr>
          <w:sz w:val="24"/>
          <w:szCs w:val="24"/>
          <w:lang w:val="es-ES_tradnl"/>
        </w:rPr>
        <w:t>potencial de crecimiento. Sin embargo, la puntuación de cada centro en este ámbito depende, en gran medida, de</w:t>
      </w:r>
      <w:r>
        <w:rPr>
          <w:sz w:val="24"/>
          <w:szCs w:val="24"/>
          <w:lang w:val="es-ES_tradnl"/>
        </w:rPr>
        <w:t xml:space="preserve"> su</w:t>
      </w:r>
      <w:r w:rsidRPr="00BE20A7">
        <w:rPr>
          <w:sz w:val="24"/>
          <w:szCs w:val="24"/>
          <w:lang w:val="es-ES_tradnl"/>
        </w:rPr>
        <w:t xml:space="preserve"> sector de actividad y no tanto de </w:t>
      </w:r>
      <w:r>
        <w:rPr>
          <w:sz w:val="24"/>
          <w:szCs w:val="24"/>
          <w:lang w:val="es-ES_tradnl"/>
        </w:rPr>
        <w:t xml:space="preserve">su </w:t>
      </w:r>
      <w:r w:rsidRPr="00BE20A7">
        <w:rPr>
          <w:sz w:val="24"/>
          <w:szCs w:val="24"/>
          <w:lang w:val="es-ES_tradnl"/>
        </w:rPr>
        <w:t xml:space="preserve">gestión e impacto. </w:t>
      </w:r>
      <w:r>
        <w:rPr>
          <w:sz w:val="24"/>
          <w:szCs w:val="24"/>
          <w:lang w:val="es-ES_tradnl"/>
        </w:rPr>
        <w:t>O</w:t>
      </w:r>
      <w:r w:rsidRPr="00BE20A7">
        <w:rPr>
          <w:sz w:val="24"/>
          <w:szCs w:val="24"/>
          <w:lang w:val="es-ES_tradnl"/>
        </w:rPr>
        <w:t xml:space="preserve">torgar un menor peso a este </w:t>
      </w:r>
      <w:r>
        <w:rPr>
          <w:sz w:val="24"/>
          <w:szCs w:val="24"/>
          <w:lang w:val="es-ES_tradnl"/>
        </w:rPr>
        <w:t>ámbito</w:t>
      </w:r>
      <w:r w:rsidRPr="00BE20A7">
        <w:rPr>
          <w:sz w:val="24"/>
          <w:szCs w:val="24"/>
          <w:lang w:val="es-ES_tradnl"/>
        </w:rPr>
        <w:t xml:space="preserve"> que a los resultados de robustez financiera e impacto social, </w:t>
      </w:r>
      <w:r>
        <w:rPr>
          <w:sz w:val="24"/>
          <w:szCs w:val="24"/>
          <w:lang w:val="es-ES_tradnl"/>
        </w:rPr>
        <w:t>permite ofrecer</w:t>
      </w:r>
      <w:r w:rsidRPr="00BE20A7">
        <w:rPr>
          <w:sz w:val="24"/>
          <w:szCs w:val="24"/>
          <w:lang w:val="es-ES_tradnl"/>
        </w:rPr>
        <w:t xml:space="preserve"> una visión más ajustada a la realidad de los </w:t>
      </w:r>
      <w:r w:rsidR="00263316">
        <w:rPr>
          <w:sz w:val="24"/>
          <w:szCs w:val="24"/>
          <w:lang w:val="es-ES_tradnl"/>
        </w:rPr>
        <w:t>CEEs</w:t>
      </w:r>
      <w:r w:rsidRPr="00BE20A7">
        <w:rPr>
          <w:sz w:val="24"/>
          <w:szCs w:val="24"/>
          <w:lang w:val="es-ES_tradnl"/>
        </w:rPr>
        <w:t xml:space="preserve">. </w:t>
      </w:r>
    </w:p>
    <w:p w:rsidR="00BE2AF9" w:rsidRDefault="00BE2AF9" w:rsidP="00BE2AF9">
      <w:pPr>
        <w:spacing w:line="360" w:lineRule="auto"/>
        <w:jc w:val="both"/>
        <w:rPr>
          <w:sz w:val="24"/>
          <w:szCs w:val="24"/>
          <w:lang w:val="es-ES_tradnl"/>
        </w:rPr>
      </w:pPr>
    </w:p>
    <w:p w:rsidR="00BE2AF9" w:rsidRPr="00BE20A7" w:rsidRDefault="00BE2AF9" w:rsidP="00BE2AF9">
      <w:pPr>
        <w:spacing w:line="360" w:lineRule="auto"/>
        <w:jc w:val="both"/>
        <w:rPr>
          <w:sz w:val="24"/>
          <w:szCs w:val="24"/>
          <w:lang w:val="es-ES_tradnl"/>
        </w:rPr>
      </w:pPr>
      <w:r w:rsidRPr="00BE20A7">
        <w:rPr>
          <w:sz w:val="24"/>
          <w:szCs w:val="24"/>
          <w:lang w:val="es-ES_tradnl"/>
        </w:rPr>
        <w:t xml:space="preserve">El 54,49% del empleo analizado corresponde a iniciativa social, mientras que el 45,51% del empleo analizado corresponde a </w:t>
      </w:r>
      <w:r w:rsidR="003D6D08">
        <w:rPr>
          <w:sz w:val="24"/>
          <w:szCs w:val="24"/>
          <w:lang w:val="es-ES_tradnl"/>
        </w:rPr>
        <w:t>iniciativa empresarial</w:t>
      </w:r>
      <w:r w:rsidRPr="00BE20A7">
        <w:rPr>
          <w:sz w:val="24"/>
          <w:szCs w:val="24"/>
          <w:lang w:val="es-ES_tradnl"/>
        </w:rPr>
        <w:t xml:space="preserve">. Asimismo, el 55,64% del empleo de personas con discapacidad analizado corresponde a iniciativa social, mientras que 44,56% </w:t>
      </w:r>
      <w:r w:rsidR="00783060">
        <w:rPr>
          <w:sz w:val="24"/>
          <w:szCs w:val="24"/>
          <w:lang w:val="es-ES_tradnl"/>
        </w:rPr>
        <w:t>restante</w:t>
      </w:r>
      <w:r w:rsidRPr="00BE20A7">
        <w:rPr>
          <w:sz w:val="24"/>
          <w:szCs w:val="24"/>
          <w:lang w:val="es-ES_tradnl"/>
        </w:rPr>
        <w:t xml:space="preserve"> corresponde a </w:t>
      </w:r>
      <w:r w:rsidR="003D6D08">
        <w:rPr>
          <w:sz w:val="24"/>
          <w:szCs w:val="24"/>
          <w:lang w:val="es-ES_tradnl"/>
        </w:rPr>
        <w:t>iniciativa empresarial</w:t>
      </w:r>
      <w:r w:rsidRPr="00BE20A7">
        <w:rPr>
          <w:sz w:val="24"/>
          <w:szCs w:val="24"/>
          <w:lang w:val="es-ES_tradnl"/>
        </w:rPr>
        <w:t xml:space="preserve">. </w:t>
      </w:r>
    </w:p>
    <w:p w:rsidR="00BE2AF9" w:rsidRPr="00BE20A7" w:rsidRDefault="00BE2AF9" w:rsidP="00BE2AF9">
      <w:pPr>
        <w:spacing w:line="360" w:lineRule="auto"/>
        <w:jc w:val="both"/>
        <w:rPr>
          <w:sz w:val="24"/>
          <w:szCs w:val="24"/>
          <w:lang w:val="es-ES_tradnl"/>
        </w:rPr>
      </w:pPr>
    </w:p>
    <w:p w:rsidR="00BE2AF9" w:rsidRDefault="00BE2AF9" w:rsidP="007D4800">
      <w:pPr>
        <w:spacing w:line="360" w:lineRule="auto"/>
        <w:jc w:val="both"/>
        <w:rPr>
          <w:sz w:val="24"/>
          <w:szCs w:val="24"/>
          <w:lang w:val="es-ES_tradnl"/>
        </w:rPr>
      </w:pPr>
      <w:r w:rsidRPr="00BE20A7">
        <w:rPr>
          <w:sz w:val="24"/>
          <w:szCs w:val="24"/>
          <w:lang w:val="es-ES_tradnl"/>
        </w:rPr>
        <w:t xml:space="preserve">De los </w:t>
      </w:r>
      <w:r w:rsidR="009F5192">
        <w:rPr>
          <w:sz w:val="24"/>
          <w:szCs w:val="24"/>
          <w:lang w:val="es-ES_tradnl"/>
        </w:rPr>
        <w:t>CEEs</w:t>
      </w:r>
      <w:r w:rsidRPr="00BE20A7">
        <w:rPr>
          <w:sz w:val="24"/>
          <w:szCs w:val="24"/>
          <w:lang w:val="es-ES_tradnl"/>
        </w:rPr>
        <w:t xml:space="preserve"> analizados, el 30,18% son </w:t>
      </w:r>
      <w:r w:rsidR="009F5192">
        <w:rPr>
          <w:sz w:val="24"/>
          <w:szCs w:val="24"/>
          <w:lang w:val="es-ES_tradnl"/>
        </w:rPr>
        <w:t>CEEs</w:t>
      </w:r>
      <w:r w:rsidRPr="00BE20A7">
        <w:rPr>
          <w:sz w:val="24"/>
          <w:szCs w:val="24"/>
          <w:lang w:val="es-ES_tradnl"/>
        </w:rPr>
        <w:t xml:space="preserve"> de iniciativa social y el 69,82% son de </w:t>
      </w:r>
      <w:r w:rsidR="003D6D08">
        <w:rPr>
          <w:sz w:val="24"/>
          <w:szCs w:val="24"/>
          <w:lang w:val="es-ES_tradnl"/>
        </w:rPr>
        <w:t>iniciativa empresarial</w:t>
      </w:r>
      <w:r w:rsidRPr="00BE20A7">
        <w:rPr>
          <w:sz w:val="24"/>
          <w:szCs w:val="24"/>
          <w:lang w:val="es-ES_tradnl"/>
        </w:rPr>
        <w:t xml:space="preserve">. </w:t>
      </w:r>
      <w:r>
        <w:rPr>
          <w:sz w:val="24"/>
          <w:szCs w:val="24"/>
          <w:lang w:val="es-ES_tradnl"/>
        </w:rPr>
        <w:br w:type="page"/>
      </w:r>
    </w:p>
    <w:p w:rsidR="00BE2AF9" w:rsidRPr="00BE20A7" w:rsidRDefault="00BE2AF9" w:rsidP="00BE2AF9">
      <w:pPr>
        <w:spacing w:line="360" w:lineRule="auto"/>
        <w:jc w:val="both"/>
        <w:rPr>
          <w:sz w:val="24"/>
          <w:szCs w:val="24"/>
          <w:lang w:val="es-ES_tradnl"/>
        </w:rPr>
      </w:pPr>
    </w:p>
    <w:p w:rsidR="00BE2AF9" w:rsidRDefault="00BE2AF9" w:rsidP="00BE2AF9">
      <w:pPr>
        <w:spacing w:line="360" w:lineRule="auto"/>
        <w:jc w:val="both"/>
        <w:rPr>
          <w:sz w:val="24"/>
          <w:szCs w:val="24"/>
          <w:lang w:val="es-ES_tradnl"/>
        </w:rPr>
      </w:pPr>
    </w:p>
    <w:tbl>
      <w:tblPr>
        <w:tblW w:w="0" w:type="auto"/>
        <w:tblLook w:val="04A0"/>
      </w:tblPr>
      <w:tblGrid>
        <w:gridCol w:w="2907"/>
        <w:gridCol w:w="2907"/>
        <w:gridCol w:w="2907"/>
      </w:tblGrid>
      <w:tr w:rsidR="00BE2AF9" w:rsidRPr="00BE20A7" w:rsidTr="00F94E4D">
        <w:tc>
          <w:tcPr>
            <w:tcW w:w="2907" w:type="dxa"/>
          </w:tcPr>
          <w:p w:rsidR="00BE2AF9" w:rsidRPr="00BE20A7" w:rsidRDefault="00BE2AF9" w:rsidP="00F94E4D">
            <w:pPr>
              <w:jc w:val="center"/>
              <w:rPr>
                <w:b/>
                <w:color w:val="808080" w:themeColor="background1" w:themeShade="80"/>
                <w:sz w:val="20"/>
                <w:lang w:val="es-ES_tradnl"/>
              </w:rPr>
            </w:pPr>
            <w:r w:rsidRPr="00BE20A7">
              <w:rPr>
                <w:b/>
                <w:color w:val="808080" w:themeColor="background1" w:themeShade="80"/>
                <w:sz w:val="20"/>
                <w:lang w:val="es-ES_tradnl"/>
              </w:rPr>
              <w:t>Evaluación financiera</w:t>
            </w:r>
            <w:r>
              <w:rPr>
                <w:rStyle w:val="Refdenotaalpie"/>
                <w:b/>
                <w:color w:val="808080" w:themeColor="background1" w:themeShade="80"/>
                <w:sz w:val="20"/>
                <w:lang w:val="es-ES_tradnl"/>
              </w:rPr>
              <w:footnoteReference w:id="5"/>
            </w:r>
          </w:p>
          <w:p w:rsidR="00BE2AF9" w:rsidRPr="00BE20A7" w:rsidRDefault="00BE2AF9" w:rsidP="00F94E4D">
            <w:pPr>
              <w:rPr>
                <w:b/>
                <w:sz w:val="18"/>
                <w:lang w:val="es-ES_tradnl"/>
              </w:rPr>
            </w:pPr>
          </w:p>
          <w:p w:rsidR="00BE2AF9" w:rsidRPr="00BE20A7" w:rsidRDefault="00BE2AF9" w:rsidP="00F94E4D">
            <w:pPr>
              <w:rPr>
                <w:b/>
                <w:sz w:val="18"/>
                <w:lang w:val="es-ES_tradnl"/>
              </w:rPr>
            </w:pPr>
          </w:p>
          <w:p w:rsidR="00BE2AF9" w:rsidRPr="00BE20A7" w:rsidRDefault="00BE2AF9" w:rsidP="00F94E4D">
            <w:pPr>
              <w:rPr>
                <w:b/>
                <w:sz w:val="20"/>
                <w:lang w:val="es-ES_tradnl"/>
              </w:rPr>
            </w:pPr>
            <w:r w:rsidRPr="00BE20A7">
              <w:rPr>
                <w:b/>
                <w:sz w:val="20"/>
                <w:lang w:val="es-ES_tradnl"/>
              </w:rPr>
              <w:t>Indicadores:</w:t>
            </w:r>
          </w:p>
          <w:p w:rsidR="00BE2AF9" w:rsidRPr="00BE20A7" w:rsidRDefault="00BE2AF9" w:rsidP="00F94E4D">
            <w:pPr>
              <w:rPr>
                <w:sz w:val="20"/>
                <w:lang w:val="es-ES_tradnl"/>
              </w:rPr>
            </w:pPr>
            <w:r w:rsidRPr="00BE20A7">
              <w:rPr>
                <w:sz w:val="20"/>
                <w:lang w:val="es-ES_tradnl"/>
              </w:rPr>
              <w:t>A1. Liquidez</w:t>
            </w:r>
          </w:p>
          <w:p w:rsidR="00BE2AF9" w:rsidRPr="00BE20A7" w:rsidRDefault="00BE2AF9" w:rsidP="00F94E4D">
            <w:pPr>
              <w:rPr>
                <w:sz w:val="20"/>
                <w:lang w:val="es-ES_tradnl"/>
              </w:rPr>
            </w:pPr>
            <w:r w:rsidRPr="00BE20A7">
              <w:rPr>
                <w:sz w:val="20"/>
                <w:lang w:val="es-ES_tradnl"/>
              </w:rPr>
              <w:t>A2. Solvencia</w:t>
            </w:r>
          </w:p>
          <w:p w:rsidR="00BE2AF9" w:rsidRPr="00BE20A7" w:rsidRDefault="00BE2AF9" w:rsidP="00F94E4D">
            <w:pPr>
              <w:rPr>
                <w:sz w:val="20"/>
                <w:lang w:val="es-ES_tradnl"/>
              </w:rPr>
            </w:pPr>
            <w:r w:rsidRPr="00BE20A7">
              <w:rPr>
                <w:sz w:val="20"/>
                <w:lang w:val="es-ES_tradnl"/>
              </w:rPr>
              <w:t>A3. Endeudamiento</w:t>
            </w:r>
          </w:p>
          <w:p w:rsidR="00BE2AF9" w:rsidRPr="00BE20A7" w:rsidRDefault="00BE2AF9" w:rsidP="00F94E4D">
            <w:pPr>
              <w:rPr>
                <w:sz w:val="20"/>
                <w:lang w:val="es-ES_tradnl"/>
              </w:rPr>
            </w:pPr>
            <w:r w:rsidRPr="00BE20A7">
              <w:rPr>
                <w:sz w:val="20"/>
                <w:lang w:val="es-ES_tradnl"/>
              </w:rPr>
              <w:t>A4. Rentabilidad</w:t>
            </w:r>
          </w:p>
          <w:p w:rsidR="00BE2AF9" w:rsidRPr="00BE20A7" w:rsidRDefault="00BE2AF9" w:rsidP="00F94E4D">
            <w:pPr>
              <w:rPr>
                <w:sz w:val="20"/>
                <w:lang w:val="es-ES_tradnl"/>
              </w:rPr>
            </w:pPr>
            <w:r w:rsidRPr="00BE20A7">
              <w:rPr>
                <w:sz w:val="20"/>
                <w:lang w:val="es-ES_tradnl"/>
              </w:rPr>
              <w:t>A5. Incidencias</w:t>
            </w:r>
          </w:p>
          <w:p w:rsidR="00BE2AF9" w:rsidRPr="00BE20A7" w:rsidRDefault="00BE2AF9" w:rsidP="00F94E4D">
            <w:pPr>
              <w:rPr>
                <w:sz w:val="20"/>
                <w:lang w:val="es-ES_tradnl"/>
              </w:rPr>
            </w:pPr>
            <w:r w:rsidRPr="00BE20A7">
              <w:rPr>
                <w:sz w:val="20"/>
                <w:lang w:val="es-ES_tradnl"/>
              </w:rPr>
              <w:t>A6. Fecha de constitución</w:t>
            </w:r>
          </w:p>
          <w:p w:rsidR="00BE2AF9" w:rsidRPr="00BE20A7" w:rsidRDefault="00BE2AF9" w:rsidP="00F94E4D">
            <w:pPr>
              <w:rPr>
                <w:sz w:val="20"/>
                <w:lang w:val="es-ES_tradnl"/>
              </w:rPr>
            </w:pPr>
            <w:r w:rsidRPr="00BE20A7">
              <w:rPr>
                <w:sz w:val="20"/>
                <w:lang w:val="es-ES_tradnl"/>
              </w:rPr>
              <w:t>A7. Facturación media por empleado</w:t>
            </w:r>
          </w:p>
          <w:p w:rsidR="00BE2AF9" w:rsidRPr="00BE20A7" w:rsidRDefault="00BE2AF9" w:rsidP="00F94E4D">
            <w:pPr>
              <w:jc w:val="both"/>
              <w:rPr>
                <w:sz w:val="18"/>
                <w:lang w:val="es-ES_tradnl"/>
              </w:rPr>
            </w:pPr>
          </w:p>
        </w:tc>
        <w:tc>
          <w:tcPr>
            <w:tcW w:w="2907" w:type="dxa"/>
          </w:tcPr>
          <w:p w:rsidR="00BE2AF9" w:rsidRPr="00BE20A7" w:rsidRDefault="00BE2AF9" w:rsidP="00F94E4D">
            <w:pPr>
              <w:jc w:val="center"/>
              <w:rPr>
                <w:b/>
                <w:color w:val="808080" w:themeColor="background1" w:themeShade="80"/>
                <w:sz w:val="20"/>
                <w:lang w:val="es-ES_tradnl"/>
              </w:rPr>
            </w:pPr>
            <w:r w:rsidRPr="00BE20A7">
              <w:rPr>
                <w:b/>
                <w:color w:val="808080" w:themeColor="background1" w:themeShade="80"/>
                <w:sz w:val="20"/>
                <w:lang w:val="es-ES_tradnl"/>
              </w:rPr>
              <w:t>Evaluación de la posición competitiva</w:t>
            </w:r>
          </w:p>
          <w:p w:rsidR="00BE2AF9" w:rsidRPr="00BE20A7" w:rsidRDefault="00BE2AF9" w:rsidP="00F94E4D">
            <w:pPr>
              <w:jc w:val="center"/>
              <w:rPr>
                <w:b/>
                <w:color w:val="808080" w:themeColor="background1" w:themeShade="80"/>
                <w:sz w:val="20"/>
                <w:lang w:val="es-ES_tradnl"/>
              </w:rPr>
            </w:pPr>
          </w:p>
          <w:p w:rsidR="00BE2AF9" w:rsidRPr="00BE20A7" w:rsidRDefault="00BE2AF9" w:rsidP="00F94E4D">
            <w:pPr>
              <w:rPr>
                <w:b/>
                <w:sz w:val="20"/>
                <w:lang w:val="es-ES_tradnl"/>
              </w:rPr>
            </w:pPr>
            <w:r w:rsidRPr="00BE20A7">
              <w:rPr>
                <w:b/>
                <w:sz w:val="20"/>
                <w:lang w:val="es-ES_tradnl"/>
              </w:rPr>
              <w:t>Indicadores:</w:t>
            </w:r>
          </w:p>
          <w:p w:rsidR="00BE2AF9" w:rsidRPr="00BE20A7" w:rsidRDefault="00BE2AF9" w:rsidP="00F94E4D">
            <w:pPr>
              <w:rPr>
                <w:sz w:val="20"/>
                <w:lang w:val="es-ES_tradnl"/>
              </w:rPr>
            </w:pPr>
            <w:r w:rsidRPr="00BE20A7">
              <w:rPr>
                <w:sz w:val="20"/>
                <w:lang w:val="es-ES_tradnl"/>
              </w:rPr>
              <w:t>B1. Sectores de alto potencial de crecimiento</w:t>
            </w:r>
          </w:p>
          <w:p w:rsidR="00BE2AF9" w:rsidRPr="00BE20A7" w:rsidRDefault="00BE2AF9" w:rsidP="00F94E4D">
            <w:pPr>
              <w:rPr>
                <w:sz w:val="20"/>
                <w:lang w:val="es-ES_tradnl"/>
              </w:rPr>
            </w:pPr>
            <w:r w:rsidRPr="00BE20A7">
              <w:rPr>
                <w:sz w:val="20"/>
                <w:lang w:val="es-ES_tradnl"/>
              </w:rPr>
              <w:t>B2. Sectores de alto potencial de exportación</w:t>
            </w:r>
          </w:p>
          <w:p w:rsidR="00BE2AF9" w:rsidRPr="00BE20A7" w:rsidRDefault="00BE2AF9" w:rsidP="00F94E4D">
            <w:pPr>
              <w:rPr>
                <w:sz w:val="20"/>
                <w:lang w:val="es-ES_tradnl"/>
              </w:rPr>
            </w:pPr>
            <w:r w:rsidRPr="00BE20A7">
              <w:rPr>
                <w:sz w:val="20"/>
                <w:lang w:val="es-ES_tradnl"/>
              </w:rPr>
              <w:t>B3. Sectores de la salud, tecnologías de la información y economía verde.</w:t>
            </w:r>
          </w:p>
          <w:p w:rsidR="00BE2AF9" w:rsidRPr="00BE20A7" w:rsidRDefault="00BE2AF9" w:rsidP="00F94E4D">
            <w:pPr>
              <w:rPr>
                <w:sz w:val="20"/>
                <w:lang w:val="es-ES_tradnl"/>
              </w:rPr>
            </w:pPr>
            <w:r w:rsidRPr="00BE20A7">
              <w:rPr>
                <w:sz w:val="20"/>
                <w:lang w:val="es-ES_tradnl"/>
              </w:rPr>
              <w:t>B4. Valor añadido bruto del sector de actividad</w:t>
            </w:r>
          </w:p>
          <w:p w:rsidR="00BE2AF9" w:rsidRPr="00BE20A7" w:rsidRDefault="00BE2AF9" w:rsidP="00F94E4D">
            <w:pPr>
              <w:rPr>
                <w:sz w:val="20"/>
                <w:lang w:val="es-ES_tradnl"/>
              </w:rPr>
            </w:pPr>
            <w:r w:rsidRPr="00BE20A7">
              <w:rPr>
                <w:sz w:val="20"/>
                <w:lang w:val="es-ES_tradnl"/>
              </w:rPr>
              <w:t>B5. Potencial de generación de riqueza</w:t>
            </w:r>
          </w:p>
          <w:p w:rsidR="00BE2AF9" w:rsidRPr="00BE20A7" w:rsidRDefault="00BE2AF9" w:rsidP="00F94E4D">
            <w:pPr>
              <w:rPr>
                <w:sz w:val="20"/>
                <w:lang w:val="es-ES_tradnl"/>
              </w:rPr>
            </w:pPr>
            <w:r w:rsidRPr="00BE20A7">
              <w:rPr>
                <w:sz w:val="20"/>
                <w:lang w:val="es-ES_tradnl"/>
              </w:rPr>
              <w:t>B6. Intensidad en inversión en I+D</w:t>
            </w:r>
          </w:p>
          <w:p w:rsidR="00BE2AF9" w:rsidRPr="00BE20A7" w:rsidRDefault="00BE2AF9" w:rsidP="00F94E4D">
            <w:pPr>
              <w:rPr>
                <w:sz w:val="20"/>
                <w:lang w:val="es-ES_tradnl"/>
              </w:rPr>
            </w:pPr>
            <w:r w:rsidRPr="00BE20A7">
              <w:rPr>
                <w:sz w:val="20"/>
                <w:lang w:val="es-ES_tradnl"/>
              </w:rPr>
              <w:t>B7. Evolución de las ventas</w:t>
            </w:r>
          </w:p>
          <w:p w:rsidR="00BE2AF9" w:rsidRPr="00BE20A7" w:rsidRDefault="00BE2AF9" w:rsidP="00F94E4D">
            <w:pPr>
              <w:rPr>
                <w:sz w:val="20"/>
                <w:lang w:val="es-ES_tradnl"/>
              </w:rPr>
            </w:pPr>
            <w:r w:rsidRPr="00BE20A7">
              <w:rPr>
                <w:sz w:val="20"/>
                <w:lang w:val="es-ES_tradnl"/>
              </w:rPr>
              <w:t>B8. Consistencia de los resultados</w:t>
            </w:r>
          </w:p>
          <w:p w:rsidR="00BE2AF9" w:rsidRPr="00BE20A7" w:rsidRDefault="00BE2AF9" w:rsidP="00F94E4D">
            <w:pPr>
              <w:jc w:val="both"/>
              <w:rPr>
                <w:sz w:val="18"/>
                <w:lang w:val="es-ES_tradnl"/>
              </w:rPr>
            </w:pPr>
          </w:p>
        </w:tc>
        <w:tc>
          <w:tcPr>
            <w:tcW w:w="2907" w:type="dxa"/>
          </w:tcPr>
          <w:p w:rsidR="00BE2AF9" w:rsidRPr="00BE20A7" w:rsidRDefault="00BE2AF9" w:rsidP="00F94E4D">
            <w:pPr>
              <w:jc w:val="center"/>
              <w:rPr>
                <w:b/>
                <w:color w:val="808080" w:themeColor="background1" w:themeShade="80"/>
                <w:sz w:val="20"/>
                <w:lang w:val="es-ES_tradnl"/>
              </w:rPr>
            </w:pPr>
            <w:r w:rsidRPr="00BE20A7">
              <w:rPr>
                <w:b/>
                <w:color w:val="808080" w:themeColor="background1" w:themeShade="80"/>
                <w:sz w:val="20"/>
                <w:lang w:val="es-ES_tradnl"/>
              </w:rPr>
              <w:t>Evaluación del impacto social</w:t>
            </w:r>
          </w:p>
          <w:p w:rsidR="00BE2AF9" w:rsidRPr="00BE20A7" w:rsidRDefault="00BE2AF9" w:rsidP="00F94E4D">
            <w:pPr>
              <w:rPr>
                <w:b/>
                <w:sz w:val="18"/>
                <w:lang w:val="es-ES_tradnl"/>
              </w:rPr>
            </w:pPr>
          </w:p>
          <w:p w:rsidR="00BE2AF9" w:rsidRPr="00BE20A7" w:rsidRDefault="00BE2AF9" w:rsidP="00F94E4D">
            <w:pPr>
              <w:rPr>
                <w:b/>
                <w:sz w:val="18"/>
                <w:lang w:val="es-ES_tradnl"/>
              </w:rPr>
            </w:pPr>
          </w:p>
          <w:p w:rsidR="00BE2AF9" w:rsidRPr="00BE20A7" w:rsidRDefault="00BE2AF9" w:rsidP="00F94E4D">
            <w:pPr>
              <w:rPr>
                <w:b/>
                <w:sz w:val="20"/>
                <w:lang w:val="es-ES_tradnl"/>
              </w:rPr>
            </w:pPr>
            <w:r w:rsidRPr="00BE20A7">
              <w:rPr>
                <w:b/>
                <w:sz w:val="20"/>
                <w:lang w:val="es-ES_tradnl"/>
              </w:rPr>
              <w:t>Indicadores:</w:t>
            </w:r>
          </w:p>
          <w:p w:rsidR="00BE2AF9" w:rsidRPr="00BE20A7" w:rsidRDefault="00BE2AF9" w:rsidP="00F94E4D">
            <w:pPr>
              <w:rPr>
                <w:sz w:val="20"/>
                <w:lang w:val="es-ES_tradnl"/>
              </w:rPr>
            </w:pPr>
            <w:r w:rsidRPr="00BE20A7">
              <w:rPr>
                <w:sz w:val="20"/>
                <w:lang w:val="es-ES_tradnl"/>
              </w:rPr>
              <w:t>C1. Estructura de la propiedad</w:t>
            </w:r>
          </w:p>
          <w:p w:rsidR="00BE2AF9" w:rsidRPr="00BE20A7" w:rsidRDefault="00BE2AF9" w:rsidP="00F94E4D">
            <w:pPr>
              <w:rPr>
                <w:sz w:val="20"/>
                <w:lang w:val="es-ES_tradnl"/>
              </w:rPr>
            </w:pPr>
            <w:r w:rsidRPr="00BE20A7">
              <w:rPr>
                <w:sz w:val="20"/>
                <w:lang w:val="es-ES_tradnl"/>
              </w:rPr>
              <w:t>C2. Empleo de PCD</w:t>
            </w:r>
          </w:p>
          <w:p w:rsidR="00BE2AF9" w:rsidRPr="00BE20A7" w:rsidRDefault="00BE2AF9" w:rsidP="00F94E4D">
            <w:pPr>
              <w:rPr>
                <w:sz w:val="20"/>
                <w:lang w:val="es-ES_tradnl"/>
              </w:rPr>
            </w:pPr>
            <w:r w:rsidRPr="00BE20A7">
              <w:rPr>
                <w:sz w:val="20"/>
                <w:lang w:val="es-ES_tradnl"/>
              </w:rPr>
              <w:t>C3. Evolución del empleo de PCD</w:t>
            </w:r>
          </w:p>
          <w:p w:rsidR="00BE2AF9" w:rsidRPr="00BE20A7" w:rsidRDefault="00BE2AF9" w:rsidP="00F94E4D">
            <w:pPr>
              <w:rPr>
                <w:sz w:val="20"/>
                <w:lang w:val="es-ES_tradnl"/>
              </w:rPr>
            </w:pPr>
            <w:r w:rsidRPr="00BE20A7">
              <w:rPr>
                <w:sz w:val="20"/>
                <w:lang w:val="es-ES_tradnl"/>
              </w:rPr>
              <w:t>C4. Estabilidad en el empleo</w:t>
            </w:r>
          </w:p>
          <w:p w:rsidR="00BE2AF9" w:rsidRPr="00BE20A7" w:rsidRDefault="00BE2AF9" w:rsidP="00F94E4D">
            <w:pPr>
              <w:rPr>
                <w:sz w:val="20"/>
                <w:lang w:val="es-ES_tradnl"/>
              </w:rPr>
            </w:pPr>
            <w:r w:rsidRPr="00BE20A7">
              <w:rPr>
                <w:sz w:val="20"/>
                <w:lang w:val="es-ES_tradnl"/>
              </w:rPr>
              <w:t>C5. Evolución de la estabilidad en el empleo.</w:t>
            </w:r>
          </w:p>
          <w:p w:rsidR="00BE2AF9" w:rsidRPr="00BE20A7" w:rsidRDefault="00BE2AF9" w:rsidP="00F94E4D">
            <w:pPr>
              <w:rPr>
                <w:sz w:val="20"/>
                <w:lang w:val="es-ES_tradnl"/>
              </w:rPr>
            </w:pPr>
            <w:r w:rsidRPr="00BE20A7">
              <w:rPr>
                <w:sz w:val="20"/>
                <w:lang w:val="es-ES_tradnl"/>
              </w:rPr>
              <w:t>C6. Equidad salarial.</w:t>
            </w:r>
          </w:p>
          <w:p w:rsidR="00BE2AF9" w:rsidRPr="00BE20A7" w:rsidRDefault="00BE2AF9" w:rsidP="00F94E4D">
            <w:pPr>
              <w:rPr>
                <w:sz w:val="20"/>
                <w:lang w:val="es-ES_tradnl"/>
              </w:rPr>
            </w:pPr>
            <w:r w:rsidRPr="00BE20A7">
              <w:rPr>
                <w:sz w:val="20"/>
                <w:lang w:val="es-ES_tradnl"/>
              </w:rPr>
              <w:t>C7. Empleados con especiales dificultades.</w:t>
            </w:r>
          </w:p>
          <w:p w:rsidR="00BE2AF9" w:rsidRPr="00BE20A7" w:rsidRDefault="00BE2AF9" w:rsidP="00F94E4D">
            <w:pPr>
              <w:rPr>
                <w:sz w:val="20"/>
                <w:lang w:val="es-ES_tradnl"/>
              </w:rPr>
            </w:pPr>
            <w:r w:rsidRPr="00BE20A7">
              <w:rPr>
                <w:sz w:val="20"/>
                <w:lang w:val="es-ES_tradnl"/>
              </w:rPr>
              <w:t>C8. Evolución en el empleo de personas con especiales dificultades</w:t>
            </w:r>
          </w:p>
          <w:p w:rsidR="00BE2AF9" w:rsidRPr="00BE20A7" w:rsidRDefault="00BE2AF9" w:rsidP="00F94E4D">
            <w:pPr>
              <w:rPr>
                <w:sz w:val="20"/>
                <w:lang w:val="es-ES_tradnl"/>
              </w:rPr>
            </w:pPr>
            <w:r w:rsidRPr="00BE20A7">
              <w:rPr>
                <w:sz w:val="20"/>
                <w:lang w:val="es-ES_tradnl"/>
              </w:rPr>
              <w:t>C9. Empleo femenino</w:t>
            </w:r>
          </w:p>
          <w:p w:rsidR="00BE2AF9" w:rsidRPr="00BE20A7" w:rsidRDefault="00BE2AF9" w:rsidP="00F94E4D">
            <w:pPr>
              <w:rPr>
                <w:sz w:val="20"/>
                <w:lang w:val="es-ES_tradnl"/>
              </w:rPr>
            </w:pPr>
            <w:r w:rsidRPr="00BE20A7">
              <w:rPr>
                <w:sz w:val="20"/>
                <w:lang w:val="es-ES_tradnl"/>
              </w:rPr>
              <w:t>C10. Edad de los empleados con discapacidad</w:t>
            </w:r>
          </w:p>
          <w:p w:rsidR="00BE2AF9" w:rsidRPr="00BE20A7" w:rsidRDefault="00BE2AF9" w:rsidP="00F94E4D">
            <w:pPr>
              <w:rPr>
                <w:sz w:val="20"/>
                <w:lang w:val="es-ES_tradnl"/>
              </w:rPr>
            </w:pPr>
            <w:r w:rsidRPr="00BE20A7">
              <w:rPr>
                <w:sz w:val="20"/>
                <w:lang w:val="es-ES_tradnl"/>
              </w:rPr>
              <w:t>C11. Nivel de estudios de los empleados con discapacidad</w:t>
            </w:r>
          </w:p>
          <w:p w:rsidR="00BE2AF9" w:rsidRPr="00BE20A7" w:rsidRDefault="00BE2AF9" w:rsidP="00F94E4D">
            <w:pPr>
              <w:rPr>
                <w:sz w:val="20"/>
                <w:lang w:val="es-ES_tradnl"/>
              </w:rPr>
            </w:pPr>
            <w:r w:rsidRPr="00BE20A7">
              <w:rPr>
                <w:sz w:val="20"/>
                <w:lang w:val="es-ES_tradnl"/>
              </w:rPr>
              <w:t>C12. Dinamización económica en ámbitos rurales</w:t>
            </w:r>
          </w:p>
          <w:p w:rsidR="00BE2AF9" w:rsidRPr="00BE20A7" w:rsidRDefault="00BE2AF9" w:rsidP="00F94E4D">
            <w:pPr>
              <w:rPr>
                <w:sz w:val="18"/>
                <w:lang w:val="es-ES_tradnl"/>
              </w:rPr>
            </w:pPr>
          </w:p>
        </w:tc>
      </w:tr>
    </w:tbl>
    <w:p w:rsidR="00BE2AF9" w:rsidRPr="00BE20A7" w:rsidRDefault="00BE2AF9" w:rsidP="00BE2AF9">
      <w:pPr>
        <w:rPr>
          <w:sz w:val="24"/>
          <w:szCs w:val="24"/>
          <w:lang w:val="es-ES_tradnl"/>
        </w:rPr>
      </w:pPr>
    </w:p>
    <w:p w:rsidR="00BE2AF9" w:rsidRDefault="00BE2AF9" w:rsidP="00BE2AF9">
      <w:pPr>
        <w:rPr>
          <w:rFonts w:ascii="MinionPro-Regular" w:hAnsi="MinionPro-Regular"/>
          <w:sz w:val="24"/>
          <w:szCs w:val="24"/>
          <w:lang w:val="es-ES_tradnl"/>
        </w:rPr>
      </w:pPr>
      <w:r w:rsidRPr="009162F7">
        <w:rPr>
          <w:rFonts w:ascii="MinionPro-Regular" w:hAnsi="MinionPro-Regular"/>
          <w:sz w:val="24"/>
          <w:szCs w:val="24"/>
          <w:lang w:val="es-ES_tradnl"/>
        </w:rPr>
        <w:t>La metodología aplicada:</w:t>
      </w:r>
    </w:p>
    <w:p w:rsidR="00423C65" w:rsidRPr="009162F7" w:rsidRDefault="00423C65" w:rsidP="00BE2AF9">
      <w:pPr>
        <w:rPr>
          <w:rFonts w:ascii="MinionPro-Regular" w:hAnsi="MinionPro-Regular"/>
          <w:sz w:val="24"/>
          <w:szCs w:val="24"/>
          <w:lang w:val="es-ES_tradnl"/>
        </w:rPr>
      </w:pPr>
    </w:p>
    <w:p w:rsidR="00BE2AF9" w:rsidRPr="009162F7" w:rsidRDefault="00BE2AF9" w:rsidP="00BE2AF9">
      <w:pPr>
        <w:numPr>
          <w:ilvl w:val="0"/>
          <w:numId w:val="30"/>
        </w:numPr>
        <w:spacing w:after="200" w:line="276" w:lineRule="auto"/>
        <w:rPr>
          <w:rFonts w:ascii="MinionPro-Regular" w:hAnsi="MinionPro-Regular"/>
          <w:sz w:val="24"/>
          <w:szCs w:val="24"/>
          <w:lang w:val="es-ES_tradnl"/>
        </w:rPr>
      </w:pPr>
      <w:r w:rsidRPr="009162F7">
        <w:rPr>
          <w:rFonts w:ascii="MinionPro-Regular" w:hAnsi="MinionPro-Regular"/>
          <w:sz w:val="24"/>
          <w:szCs w:val="24"/>
          <w:lang w:val="es-ES_tradnl"/>
        </w:rPr>
        <w:t>Define cada indicador de manera inequívoca.</w:t>
      </w:r>
    </w:p>
    <w:p w:rsidR="00BE2AF9" w:rsidRPr="009162F7" w:rsidRDefault="00BE2AF9" w:rsidP="00BE2AF9">
      <w:pPr>
        <w:numPr>
          <w:ilvl w:val="0"/>
          <w:numId w:val="30"/>
        </w:numPr>
        <w:spacing w:after="200" w:line="276" w:lineRule="auto"/>
        <w:rPr>
          <w:rFonts w:ascii="MinionPro-Regular" w:hAnsi="MinionPro-Regular"/>
          <w:sz w:val="24"/>
          <w:szCs w:val="24"/>
          <w:lang w:val="es-ES_tradnl"/>
        </w:rPr>
      </w:pPr>
      <w:r w:rsidRPr="009162F7">
        <w:rPr>
          <w:rFonts w:ascii="MinionPro-Regular" w:hAnsi="MinionPro-Regular"/>
          <w:sz w:val="24"/>
          <w:szCs w:val="24"/>
          <w:lang w:val="es-ES_tradnl"/>
        </w:rPr>
        <w:t>Establece la fuente de información y si se encuentra entre la que periódicamente recoge la Junta de Castilla y León.</w:t>
      </w:r>
    </w:p>
    <w:p w:rsidR="00BE2AF9" w:rsidRPr="009162F7" w:rsidRDefault="00BE2AF9" w:rsidP="00BE2AF9">
      <w:pPr>
        <w:numPr>
          <w:ilvl w:val="0"/>
          <w:numId w:val="30"/>
        </w:numPr>
        <w:spacing w:after="200" w:line="276" w:lineRule="auto"/>
        <w:rPr>
          <w:rFonts w:ascii="MinionPro-Regular" w:hAnsi="MinionPro-Regular"/>
          <w:sz w:val="24"/>
          <w:szCs w:val="24"/>
          <w:lang w:val="es-ES_tradnl"/>
        </w:rPr>
      </w:pPr>
      <w:r w:rsidRPr="009162F7">
        <w:rPr>
          <w:rFonts w:ascii="MinionPro-Regular" w:hAnsi="MinionPro-Regular"/>
          <w:sz w:val="24"/>
          <w:szCs w:val="24"/>
          <w:lang w:val="es-ES_tradnl"/>
        </w:rPr>
        <w:t xml:space="preserve">Establece rangos o define la buena práctica. De este modo hay indicadores que </w:t>
      </w:r>
      <w:r>
        <w:rPr>
          <w:rFonts w:ascii="MinionPro-Regular" w:hAnsi="MinionPro-Regular"/>
          <w:sz w:val="24"/>
          <w:szCs w:val="24"/>
          <w:lang w:val="es-ES_tradnl"/>
        </w:rPr>
        <w:t>so</w:t>
      </w:r>
      <w:r w:rsidRPr="009162F7">
        <w:rPr>
          <w:rFonts w:ascii="MinionPro-Regular" w:hAnsi="MinionPro-Regular"/>
          <w:sz w:val="24"/>
          <w:szCs w:val="24"/>
          <w:lang w:val="es-ES_tradnl"/>
        </w:rPr>
        <w:t>n binarios y otros en los que el desempeño puede tomar tres valores distintos.</w:t>
      </w:r>
    </w:p>
    <w:p w:rsidR="00BE2AF9" w:rsidRPr="009162F7" w:rsidRDefault="00BE2AF9" w:rsidP="00BE2AF9">
      <w:pPr>
        <w:numPr>
          <w:ilvl w:val="0"/>
          <w:numId w:val="30"/>
        </w:numPr>
        <w:spacing w:after="200" w:line="276" w:lineRule="auto"/>
        <w:rPr>
          <w:rFonts w:ascii="MinionPro-Regular" w:hAnsi="MinionPro-Regular"/>
          <w:sz w:val="24"/>
          <w:szCs w:val="24"/>
          <w:lang w:val="es-ES_tradnl"/>
        </w:rPr>
      </w:pPr>
      <w:r w:rsidRPr="009162F7">
        <w:rPr>
          <w:rFonts w:ascii="MinionPro-Regular" w:hAnsi="MinionPro-Regular"/>
          <w:sz w:val="24"/>
          <w:szCs w:val="24"/>
          <w:lang w:val="es-ES_tradnl"/>
        </w:rPr>
        <w:t xml:space="preserve">Permite que la valoración del analista sea </w:t>
      </w:r>
      <w:r w:rsidR="000E6836">
        <w:rPr>
          <w:rFonts w:ascii="MinionPro-Regular" w:hAnsi="MinionPro-Regular"/>
          <w:sz w:val="24"/>
          <w:szCs w:val="24"/>
          <w:lang w:val="es-ES_tradnl"/>
        </w:rPr>
        <w:t xml:space="preserve">relativamente </w:t>
      </w:r>
      <w:r w:rsidRPr="009162F7">
        <w:rPr>
          <w:rFonts w:ascii="MinionPro-Regular" w:hAnsi="MinionPro-Regular"/>
          <w:sz w:val="24"/>
          <w:szCs w:val="24"/>
          <w:lang w:val="es-ES_tradnl"/>
        </w:rPr>
        <w:t>objetiva.</w:t>
      </w:r>
    </w:p>
    <w:p w:rsidR="00BE2AF9" w:rsidRPr="009162F7" w:rsidRDefault="00BE2AF9" w:rsidP="00BE2AF9">
      <w:pPr>
        <w:numPr>
          <w:ilvl w:val="0"/>
          <w:numId w:val="30"/>
        </w:numPr>
        <w:spacing w:after="200" w:line="276" w:lineRule="auto"/>
        <w:rPr>
          <w:rFonts w:ascii="MinionPro-Regular" w:hAnsi="MinionPro-Regular"/>
          <w:sz w:val="24"/>
          <w:szCs w:val="24"/>
          <w:lang w:val="es-ES_tradnl"/>
        </w:rPr>
      </w:pPr>
      <w:r w:rsidRPr="009162F7">
        <w:rPr>
          <w:rFonts w:ascii="MinionPro-Regular" w:hAnsi="MinionPro-Regular"/>
          <w:sz w:val="24"/>
          <w:szCs w:val="24"/>
          <w:lang w:val="es-ES_tradnl"/>
        </w:rPr>
        <w:t xml:space="preserve">Busca identificar buenas prácticas y no enjuiciar el modelo de negocio o de gestión de los </w:t>
      </w:r>
      <w:r w:rsidR="009F5192">
        <w:rPr>
          <w:rFonts w:ascii="MinionPro-Regular" w:hAnsi="MinionPro-Regular"/>
          <w:sz w:val="24"/>
          <w:szCs w:val="24"/>
          <w:lang w:val="es-ES_tradnl"/>
        </w:rPr>
        <w:t>CEEs</w:t>
      </w:r>
      <w:r w:rsidRPr="009162F7">
        <w:rPr>
          <w:rFonts w:ascii="MinionPro-Regular" w:hAnsi="MinionPro-Regular"/>
          <w:sz w:val="24"/>
          <w:szCs w:val="24"/>
          <w:lang w:val="es-ES_tradnl"/>
        </w:rPr>
        <w:t>.</w:t>
      </w:r>
    </w:p>
    <w:p w:rsidR="00856081" w:rsidRDefault="00856081" w:rsidP="00856081">
      <w:pPr>
        <w:pStyle w:val="Ttulo1"/>
        <w:rPr>
          <w:lang w:val="es-ES_tradnl"/>
        </w:rPr>
      </w:pPr>
      <w:bookmarkStart w:id="224" w:name="_Toc410916869"/>
      <w:r w:rsidRPr="00BE20A7">
        <w:rPr>
          <w:lang w:val="es-ES_tradnl"/>
        </w:rPr>
        <w:lastRenderedPageBreak/>
        <w:t xml:space="preserve">Resultados </w:t>
      </w:r>
      <w:r>
        <w:rPr>
          <w:lang w:val="es-ES_tradnl"/>
        </w:rPr>
        <w:t>del análisis</w:t>
      </w:r>
      <w:bookmarkEnd w:id="224"/>
    </w:p>
    <w:p w:rsidR="000459A8" w:rsidRDefault="000459A8" w:rsidP="000459A8">
      <w:pPr>
        <w:pStyle w:val="Textoindependiente"/>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3"/>
      </w:tblGrid>
      <w:tr w:rsidR="000459A8" w:rsidTr="000459A8">
        <w:tc>
          <w:tcPr>
            <w:tcW w:w="4322" w:type="dxa"/>
          </w:tcPr>
          <w:p w:rsidR="000459A8" w:rsidRPr="008A617F" w:rsidRDefault="000459A8" w:rsidP="000459A8">
            <w:pPr>
              <w:tabs>
                <w:tab w:val="left" w:pos="5103"/>
                <w:tab w:val="left" w:pos="5529"/>
              </w:tabs>
              <w:spacing w:line="360" w:lineRule="auto"/>
              <w:jc w:val="both"/>
              <w:rPr>
                <w:b/>
                <w:sz w:val="30"/>
                <w:szCs w:val="30"/>
                <w:lang w:val="es-ES_tradnl"/>
              </w:rPr>
            </w:pPr>
            <w:r w:rsidRPr="008A617F">
              <w:rPr>
                <w:b/>
                <w:sz w:val="30"/>
                <w:szCs w:val="30"/>
                <w:lang w:val="es-ES_tradnl"/>
              </w:rPr>
              <w:t xml:space="preserve">Indicador </w:t>
            </w:r>
          </w:p>
        </w:tc>
        <w:tc>
          <w:tcPr>
            <w:tcW w:w="4323" w:type="dxa"/>
          </w:tcPr>
          <w:p w:rsidR="000459A8" w:rsidRPr="004665C1" w:rsidRDefault="000459A8" w:rsidP="000459A8">
            <w:pPr>
              <w:tabs>
                <w:tab w:val="left" w:pos="5103"/>
                <w:tab w:val="left" w:pos="5529"/>
              </w:tabs>
              <w:jc w:val="both"/>
              <w:rPr>
                <w:b/>
                <w:sz w:val="30"/>
                <w:szCs w:val="30"/>
                <w:lang w:val="es-ES_tradnl"/>
              </w:rPr>
            </w:pPr>
            <w:r w:rsidRPr="004665C1">
              <w:rPr>
                <w:b/>
                <w:sz w:val="30"/>
                <w:szCs w:val="30"/>
                <w:lang w:val="es-ES_tradnl"/>
              </w:rPr>
              <w:t>Valoración</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Liquidez</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sidR="009F5192">
              <w:rPr>
                <w:sz w:val="18"/>
                <w:szCs w:val="18"/>
                <w:lang w:val="es-ES_tradnl"/>
              </w:rPr>
              <w:t>CEEs</w:t>
            </w:r>
            <w:r w:rsidRPr="00046EC0">
              <w:rPr>
                <w:sz w:val="18"/>
                <w:szCs w:val="18"/>
                <w:lang w:val="es-ES_tradnl"/>
              </w:rPr>
              <w:t xml:space="preserve"> muestran </w:t>
            </w:r>
            <w:r w:rsidRPr="000E6836">
              <w:rPr>
                <w:sz w:val="18"/>
                <w:szCs w:val="18"/>
                <w:lang w:val="es-ES_tradnl"/>
              </w:rPr>
              <w:t>un ratio de liquidez de 2,47</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Solvencia</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sidR="009F5192">
              <w:rPr>
                <w:sz w:val="18"/>
                <w:szCs w:val="18"/>
                <w:lang w:val="es-ES_tradnl"/>
              </w:rPr>
              <w:t>CEEs</w:t>
            </w:r>
            <w:r w:rsidRPr="00046EC0">
              <w:rPr>
                <w:sz w:val="18"/>
                <w:szCs w:val="18"/>
                <w:lang w:val="es-ES_tradnl"/>
              </w:rPr>
              <w:t xml:space="preserve"> muestran </w:t>
            </w:r>
            <w:r w:rsidRPr="000E6836">
              <w:rPr>
                <w:sz w:val="18"/>
                <w:szCs w:val="18"/>
                <w:lang w:val="es-ES_tradnl"/>
              </w:rPr>
              <w:t>un ratio de solvencia de 3,28</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Endeudamiento</w:t>
            </w:r>
          </w:p>
        </w:tc>
        <w:tc>
          <w:tcPr>
            <w:tcW w:w="4323" w:type="dxa"/>
          </w:tcPr>
          <w:p w:rsidR="000459A8" w:rsidRPr="006B560E" w:rsidRDefault="00ED4356" w:rsidP="000E6836">
            <w:pPr>
              <w:tabs>
                <w:tab w:val="left" w:pos="5103"/>
                <w:tab w:val="left" w:pos="5529"/>
              </w:tabs>
              <w:spacing w:line="360" w:lineRule="auto"/>
              <w:jc w:val="both"/>
              <w:rPr>
                <w:sz w:val="18"/>
                <w:szCs w:val="18"/>
                <w:lang w:val="es-ES_tradnl"/>
              </w:rPr>
            </w:pPr>
            <w:r>
              <w:rPr>
                <w:sz w:val="18"/>
                <w:szCs w:val="18"/>
                <w:lang w:val="es-ES_tradnl"/>
              </w:rPr>
              <w:t>95 de ellos de ellos</w:t>
            </w:r>
            <w:r w:rsidR="000459A8" w:rsidRPr="00884364">
              <w:rPr>
                <w:sz w:val="18"/>
                <w:szCs w:val="18"/>
                <w:lang w:val="es-ES_tradnl"/>
              </w:rPr>
              <w:t xml:space="preserve"> tienen </w:t>
            </w:r>
            <w:r w:rsidR="000459A8" w:rsidRPr="000E6836">
              <w:rPr>
                <w:sz w:val="18"/>
                <w:szCs w:val="18"/>
                <w:lang w:val="es-ES_tradnl"/>
              </w:rPr>
              <w:t>un ratio de endeudamiento inferior a 0,4.</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Rentabilidad</w:t>
            </w:r>
          </w:p>
        </w:tc>
        <w:tc>
          <w:tcPr>
            <w:tcW w:w="4323" w:type="dxa"/>
          </w:tcPr>
          <w:p w:rsidR="000459A8" w:rsidRPr="00046EC0" w:rsidRDefault="000459A8" w:rsidP="000E683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sidR="009F5192">
              <w:rPr>
                <w:sz w:val="18"/>
                <w:szCs w:val="18"/>
                <w:lang w:val="es-ES_tradnl"/>
              </w:rPr>
              <w:t>CEEs</w:t>
            </w:r>
            <w:r w:rsidRPr="00046EC0">
              <w:rPr>
                <w:sz w:val="18"/>
                <w:szCs w:val="18"/>
                <w:lang w:val="es-ES_tradnl"/>
              </w:rPr>
              <w:t xml:space="preserve"> muestran un bajo desempeño</w:t>
            </w:r>
            <w:r w:rsidR="000E6836">
              <w:rPr>
                <w:sz w:val="18"/>
                <w:szCs w:val="18"/>
                <w:lang w:val="es-ES_tradnl"/>
              </w:rPr>
              <w:t xml:space="preserve"> en este ámbito.</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Incidencias</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sidR="009F5192">
              <w:rPr>
                <w:sz w:val="18"/>
                <w:szCs w:val="18"/>
                <w:lang w:val="es-ES_tradnl"/>
              </w:rPr>
              <w:t>CEEs</w:t>
            </w:r>
            <w:r w:rsidRPr="00046EC0">
              <w:rPr>
                <w:sz w:val="18"/>
                <w:szCs w:val="18"/>
                <w:lang w:val="es-ES_tradnl"/>
              </w:rPr>
              <w:t xml:space="preserve"> muestran un alto desempeño</w:t>
            </w:r>
            <w:r>
              <w:rPr>
                <w:sz w:val="18"/>
                <w:szCs w:val="18"/>
                <w:lang w:val="es-ES_tradnl"/>
              </w:rPr>
              <w:t xml:space="preserve">, reportando, de media, incidencias </w:t>
            </w:r>
            <w:r w:rsidRPr="000E6836">
              <w:rPr>
                <w:sz w:val="18"/>
                <w:szCs w:val="18"/>
                <w:lang w:val="es-ES_tradnl"/>
              </w:rPr>
              <w:t>nulas o irrelevantes</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Antigüedad</w:t>
            </w:r>
          </w:p>
        </w:tc>
        <w:tc>
          <w:tcPr>
            <w:tcW w:w="4323" w:type="dxa"/>
          </w:tcPr>
          <w:p w:rsidR="000459A8" w:rsidRPr="00046EC0"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 xml:space="preserve">10 años </w:t>
            </w:r>
            <w:r w:rsidRPr="00046EC0">
              <w:rPr>
                <w:sz w:val="18"/>
                <w:szCs w:val="18"/>
                <w:lang w:val="es-ES_tradnl"/>
              </w:rPr>
              <w:t>de antigüedad media</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Facturación Media por Empleado</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 xml:space="preserve">86 </w:t>
            </w:r>
            <w:r w:rsidR="009F5192" w:rsidRPr="000E6836">
              <w:rPr>
                <w:sz w:val="18"/>
                <w:szCs w:val="18"/>
                <w:lang w:val="es-ES_tradnl"/>
              </w:rPr>
              <w:t>CEEs</w:t>
            </w:r>
            <w:r w:rsidRPr="000E6836">
              <w:rPr>
                <w:sz w:val="18"/>
                <w:szCs w:val="18"/>
                <w:lang w:val="es-ES_tradnl"/>
              </w:rPr>
              <w:t xml:space="preserve"> </w:t>
            </w:r>
            <w:r w:rsidRPr="00E6523B">
              <w:rPr>
                <w:sz w:val="18"/>
                <w:szCs w:val="18"/>
                <w:lang w:val="es-ES_tradnl"/>
              </w:rPr>
              <w:t>consiguen</w:t>
            </w:r>
            <w:r w:rsidRPr="000E6836">
              <w:rPr>
                <w:sz w:val="18"/>
                <w:szCs w:val="18"/>
                <w:lang w:val="es-ES_tradnl"/>
              </w:rPr>
              <w:t xml:space="preserve"> </w:t>
            </w:r>
            <w:r>
              <w:rPr>
                <w:sz w:val="18"/>
                <w:szCs w:val="18"/>
                <w:lang w:val="es-ES_tradnl"/>
              </w:rPr>
              <w:t>una</w:t>
            </w:r>
            <w:r w:rsidRPr="00046EC0">
              <w:rPr>
                <w:sz w:val="18"/>
                <w:szCs w:val="18"/>
                <w:lang w:val="es-ES_tradnl"/>
              </w:rPr>
              <w:t xml:space="preserve"> facturación </w:t>
            </w:r>
            <w:r>
              <w:rPr>
                <w:sz w:val="18"/>
                <w:szCs w:val="18"/>
                <w:lang w:val="es-ES_tradnl"/>
              </w:rPr>
              <w:t>media por empleado igual o superior 20.000 euros</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Sectores de alto potencial de crecimiento</w:t>
            </w:r>
          </w:p>
        </w:tc>
        <w:tc>
          <w:tcPr>
            <w:tcW w:w="4323" w:type="dxa"/>
          </w:tcPr>
          <w:p w:rsidR="000459A8" w:rsidRPr="00F62700"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 xml:space="preserve">84 </w:t>
            </w:r>
            <w:r w:rsidR="009F5192">
              <w:rPr>
                <w:sz w:val="18"/>
                <w:szCs w:val="18"/>
                <w:lang w:val="es-ES_tradnl"/>
              </w:rPr>
              <w:t>CEEs</w:t>
            </w:r>
            <w:r>
              <w:rPr>
                <w:sz w:val="18"/>
                <w:szCs w:val="18"/>
                <w:lang w:val="es-ES_tradnl"/>
              </w:rPr>
              <w:t xml:space="preserve"> son </w:t>
            </w:r>
            <w:r w:rsidRPr="000E6836">
              <w:rPr>
                <w:sz w:val="18"/>
                <w:szCs w:val="18"/>
                <w:lang w:val="es-ES_tradnl"/>
              </w:rPr>
              <w:t xml:space="preserve">compañías gacelas </w:t>
            </w:r>
            <w:r>
              <w:rPr>
                <w:sz w:val="18"/>
                <w:szCs w:val="18"/>
                <w:lang w:val="es-ES_tradnl"/>
              </w:rPr>
              <w:t xml:space="preserve">o de alto crecimiento según la </w:t>
            </w:r>
            <w:r w:rsidR="000E6836">
              <w:rPr>
                <w:sz w:val="18"/>
                <w:szCs w:val="18"/>
                <w:lang w:val="es-ES_tradnl"/>
              </w:rPr>
              <w:t xml:space="preserve">terminología de la </w:t>
            </w:r>
            <w:r>
              <w:rPr>
                <w:sz w:val="18"/>
                <w:szCs w:val="18"/>
                <w:lang w:val="es-ES_tradnl"/>
              </w:rPr>
              <w:t xml:space="preserve">OCDE en base al sector al que se dedican. </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Sectores de alto potencial de exportación</w:t>
            </w:r>
          </w:p>
        </w:tc>
        <w:tc>
          <w:tcPr>
            <w:tcW w:w="4323" w:type="dxa"/>
          </w:tcPr>
          <w:p w:rsidR="000459A8" w:rsidRPr="00F62700" w:rsidRDefault="000E6836" w:rsidP="000E6836">
            <w:pPr>
              <w:tabs>
                <w:tab w:val="left" w:pos="5103"/>
                <w:tab w:val="left" w:pos="5529"/>
              </w:tabs>
              <w:spacing w:line="360" w:lineRule="auto"/>
              <w:jc w:val="both"/>
              <w:rPr>
                <w:sz w:val="18"/>
                <w:szCs w:val="18"/>
                <w:lang w:val="es-ES_tradnl"/>
              </w:rPr>
            </w:pPr>
            <w:r>
              <w:rPr>
                <w:sz w:val="18"/>
                <w:szCs w:val="18"/>
                <w:lang w:val="es-ES_tradnl"/>
              </w:rPr>
              <w:t>S</w:t>
            </w:r>
            <w:r w:rsidR="000459A8" w:rsidRPr="000E6836">
              <w:rPr>
                <w:sz w:val="18"/>
                <w:szCs w:val="18"/>
                <w:lang w:val="es-ES_tradnl"/>
              </w:rPr>
              <w:t xml:space="preserve">olo 36 </w:t>
            </w:r>
            <w:r w:rsidR="009F5192" w:rsidRPr="000E6836">
              <w:rPr>
                <w:sz w:val="18"/>
                <w:szCs w:val="18"/>
                <w:lang w:val="es-ES_tradnl"/>
              </w:rPr>
              <w:t>CEEs</w:t>
            </w:r>
            <w:r w:rsidR="000459A8" w:rsidRPr="000E6836">
              <w:rPr>
                <w:sz w:val="18"/>
                <w:szCs w:val="18"/>
                <w:lang w:val="es-ES_tradnl"/>
              </w:rPr>
              <w:t xml:space="preserve"> se encuentran en sectores de actividad con gran capacidad exportadora</w:t>
            </w:r>
            <w:r w:rsidR="000459A8">
              <w:rPr>
                <w:sz w:val="18"/>
                <w:szCs w:val="18"/>
                <w:lang w:val="es-ES_tradnl"/>
              </w:rPr>
              <w:t>, según la clasificación sectorial MIT.</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Sectores de la salud, tecnologías de la información y economía verde</w:t>
            </w:r>
          </w:p>
        </w:tc>
        <w:tc>
          <w:tcPr>
            <w:tcW w:w="4323" w:type="dxa"/>
          </w:tcPr>
          <w:p w:rsidR="000459A8" w:rsidRPr="00F62700" w:rsidRDefault="000E6836" w:rsidP="000E6836">
            <w:pPr>
              <w:tabs>
                <w:tab w:val="left" w:pos="5103"/>
                <w:tab w:val="left" w:pos="5529"/>
              </w:tabs>
              <w:spacing w:line="360" w:lineRule="auto"/>
              <w:jc w:val="both"/>
              <w:rPr>
                <w:sz w:val="18"/>
                <w:szCs w:val="18"/>
                <w:lang w:val="es-ES_tradnl"/>
              </w:rPr>
            </w:pPr>
            <w:r>
              <w:rPr>
                <w:sz w:val="18"/>
                <w:szCs w:val="18"/>
                <w:lang w:val="es-ES_tradnl"/>
              </w:rPr>
              <w:t>S</w:t>
            </w:r>
            <w:r w:rsidR="000459A8">
              <w:rPr>
                <w:sz w:val="18"/>
                <w:szCs w:val="18"/>
                <w:lang w:val="es-ES_tradnl"/>
              </w:rPr>
              <w:t xml:space="preserve">olo 13 </w:t>
            </w:r>
            <w:r w:rsidR="009F5192">
              <w:rPr>
                <w:sz w:val="18"/>
                <w:szCs w:val="18"/>
                <w:lang w:val="es-ES_tradnl"/>
              </w:rPr>
              <w:t>CEEs</w:t>
            </w:r>
            <w:r w:rsidR="000459A8">
              <w:rPr>
                <w:sz w:val="18"/>
                <w:szCs w:val="18"/>
                <w:lang w:val="es-ES_tradnl"/>
              </w:rPr>
              <w:t xml:space="preserve"> se dedican a estas actividades.</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Sectores de alto Valor Añadido Bruto/empleado</w:t>
            </w:r>
          </w:p>
        </w:tc>
        <w:tc>
          <w:tcPr>
            <w:tcW w:w="4323" w:type="dxa"/>
          </w:tcPr>
          <w:p w:rsidR="000459A8" w:rsidRPr="00F62700" w:rsidRDefault="000459A8" w:rsidP="000E6836">
            <w:pPr>
              <w:tabs>
                <w:tab w:val="left" w:pos="5103"/>
                <w:tab w:val="left" w:pos="5529"/>
              </w:tabs>
              <w:spacing w:line="360" w:lineRule="auto"/>
              <w:jc w:val="both"/>
              <w:rPr>
                <w:sz w:val="18"/>
                <w:szCs w:val="18"/>
                <w:lang w:val="es-ES_tradnl"/>
              </w:rPr>
            </w:pPr>
            <w:r>
              <w:rPr>
                <w:sz w:val="18"/>
                <w:szCs w:val="18"/>
                <w:lang w:val="es-ES_tradnl"/>
              </w:rPr>
              <w:t xml:space="preserve">Únicamente 19 </w:t>
            </w:r>
            <w:r w:rsidR="009F5192">
              <w:rPr>
                <w:sz w:val="18"/>
                <w:szCs w:val="18"/>
                <w:lang w:val="es-ES_tradnl"/>
              </w:rPr>
              <w:t>CEEs</w:t>
            </w:r>
            <w:r>
              <w:rPr>
                <w:sz w:val="18"/>
                <w:szCs w:val="18"/>
                <w:lang w:val="es-ES_tradnl"/>
              </w:rPr>
              <w:t xml:space="preserve"> desarrollan actividades con un Valor Añadido Bruto por empleado </w:t>
            </w:r>
            <w:r w:rsidRPr="000E6836">
              <w:rPr>
                <w:sz w:val="18"/>
                <w:szCs w:val="18"/>
                <w:lang w:val="es-ES_tradnl"/>
              </w:rPr>
              <w:t>superior a 52.000 euros</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Sectores de alto potencial de generación de riqueza</w:t>
            </w:r>
          </w:p>
        </w:tc>
        <w:tc>
          <w:tcPr>
            <w:tcW w:w="4323" w:type="dxa"/>
          </w:tcPr>
          <w:p w:rsidR="000459A8" w:rsidRPr="00F62700" w:rsidRDefault="000459A8" w:rsidP="000E6836">
            <w:pPr>
              <w:tabs>
                <w:tab w:val="left" w:pos="5103"/>
                <w:tab w:val="left" w:pos="5529"/>
              </w:tabs>
              <w:spacing w:line="360" w:lineRule="auto"/>
              <w:jc w:val="both"/>
              <w:rPr>
                <w:sz w:val="18"/>
                <w:szCs w:val="18"/>
                <w:lang w:val="es-ES_tradnl"/>
              </w:rPr>
            </w:pPr>
            <w:r>
              <w:rPr>
                <w:sz w:val="18"/>
                <w:szCs w:val="18"/>
                <w:lang w:val="es-ES_tradnl"/>
              </w:rPr>
              <w:t xml:space="preserve">Rendimiento medio: de media, los </w:t>
            </w:r>
            <w:r w:rsidR="00A95742">
              <w:rPr>
                <w:sz w:val="18"/>
                <w:szCs w:val="18"/>
                <w:lang w:val="es-ES_tradnl"/>
              </w:rPr>
              <w:t>CEEs</w:t>
            </w:r>
            <w:r>
              <w:rPr>
                <w:sz w:val="18"/>
                <w:szCs w:val="18"/>
                <w:lang w:val="es-ES_tradnl"/>
              </w:rPr>
              <w:t xml:space="preserve"> </w:t>
            </w:r>
            <w:r w:rsidR="00030645">
              <w:rPr>
                <w:sz w:val="18"/>
                <w:szCs w:val="18"/>
                <w:lang w:val="es-ES_tradnl"/>
              </w:rPr>
              <w:t>obtienen</w:t>
            </w:r>
            <w:r>
              <w:rPr>
                <w:sz w:val="18"/>
                <w:szCs w:val="18"/>
                <w:lang w:val="es-ES_tradnl"/>
              </w:rPr>
              <w:t xml:space="preserve"> una </w:t>
            </w:r>
            <w:r w:rsidRPr="000E6836">
              <w:rPr>
                <w:sz w:val="18"/>
                <w:szCs w:val="18"/>
                <w:lang w:val="es-ES_tradnl"/>
              </w:rPr>
              <w:t>puntuación de 2,4 sobre 5</w:t>
            </w:r>
            <w:r>
              <w:rPr>
                <w:sz w:val="18"/>
                <w:szCs w:val="18"/>
                <w:lang w:val="es-ES_tradnl"/>
              </w:rPr>
              <w:t xml:space="preserve"> en este ámbito debido al sector al que se dedican.</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Evolución de las ventas</w:t>
            </w:r>
          </w:p>
        </w:tc>
        <w:tc>
          <w:tcPr>
            <w:tcW w:w="4323" w:type="dxa"/>
          </w:tcPr>
          <w:p w:rsidR="000459A8" w:rsidRPr="000E6836" w:rsidRDefault="00030645" w:rsidP="000E6836">
            <w:pPr>
              <w:tabs>
                <w:tab w:val="left" w:pos="5103"/>
                <w:tab w:val="left" w:pos="5529"/>
              </w:tabs>
              <w:spacing w:line="360" w:lineRule="auto"/>
              <w:jc w:val="both"/>
              <w:rPr>
                <w:sz w:val="18"/>
                <w:szCs w:val="18"/>
                <w:lang w:val="es-ES_tradnl"/>
              </w:rPr>
            </w:pPr>
            <w:r>
              <w:rPr>
                <w:sz w:val="18"/>
                <w:szCs w:val="18"/>
                <w:lang w:val="es-ES_tradnl"/>
              </w:rPr>
              <w:t>L</w:t>
            </w:r>
            <w:r w:rsidR="000459A8">
              <w:rPr>
                <w:sz w:val="18"/>
                <w:szCs w:val="18"/>
                <w:lang w:val="es-ES_tradnl"/>
              </w:rPr>
              <w:t xml:space="preserve">os </w:t>
            </w:r>
            <w:r w:rsidR="00A95742">
              <w:rPr>
                <w:sz w:val="18"/>
                <w:szCs w:val="18"/>
                <w:lang w:val="es-ES_tradnl"/>
              </w:rPr>
              <w:t>CEEs</w:t>
            </w:r>
            <w:r w:rsidR="000459A8">
              <w:rPr>
                <w:sz w:val="18"/>
                <w:szCs w:val="18"/>
                <w:lang w:val="es-ES_tradnl"/>
              </w:rPr>
              <w:t xml:space="preserve"> han </w:t>
            </w:r>
            <w:r w:rsidR="0045063C" w:rsidRPr="000E6836">
              <w:rPr>
                <w:sz w:val="18"/>
                <w:szCs w:val="18"/>
                <w:lang w:val="es-ES_tradnl"/>
              </w:rPr>
              <w:t>aumenta</w:t>
            </w:r>
            <w:r w:rsidR="000459A8" w:rsidRPr="000E6836">
              <w:rPr>
                <w:sz w:val="18"/>
                <w:szCs w:val="18"/>
                <w:lang w:val="es-ES_tradnl"/>
              </w:rPr>
              <w:t xml:space="preserve">do las ventas </w:t>
            </w:r>
            <w:r w:rsidR="000459A8">
              <w:rPr>
                <w:sz w:val="18"/>
                <w:szCs w:val="18"/>
                <w:lang w:val="es-ES_tradnl"/>
              </w:rPr>
              <w:t>entre los años de 2011 y 2012</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Consistencia en los resultados (resultados positivos dos años consecutivos).</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 xml:space="preserve">73 </w:t>
            </w:r>
            <w:r w:rsidR="00A95742">
              <w:rPr>
                <w:sz w:val="18"/>
                <w:szCs w:val="18"/>
                <w:lang w:val="es-ES_tradnl"/>
              </w:rPr>
              <w:t>CEEs</w:t>
            </w:r>
            <w:r w:rsidRPr="00A47BBF">
              <w:rPr>
                <w:sz w:val="18"/>
                <w:szCs w:val="18"/>
                <w:lang w:val="es-ES_tradnl"/>
              </w:rPr>
              <w:t xml:space="preserve"> han conseguido mantener </w:t>
            </w:r>
            <w:r w:rsidRPr="000E6836">
              <w:rPr>
                <w:sz w:val="18"/>
                <w:szCs w:val="18"/>
                <w:lang w:val="es-ES_tradnl"/>
              </w:rPr>
              <w:t>resultados positivos tanto en 2011 como en 2012</w:t>
            </w:r>
          </w:p>
        </w:tc>
      </w:tr>
      <w:tr w:rsidR="000459A8" w:rsidTr="000459A8">
        <w:tc>
          <w:tcPr>
            <w:tcW w:w="4322" w:type="dxa"/>
          </w:tcPr>
          <w:p w:rsidR="000459A8" w:rsidRPr="0045063C" w:rsidRDefault="000459A8" w:rsidP="000459A8">
            <w:pPr>
              <w:tabs>
                <w:tab w:val="left" w:pos="5103"/>
                <w:tab w:val="left" w:pos="5529"/>
              </w:tabs>
              <w:spacing w:line="360" w:lineRule="auto"/>
              <w:rPr>
                <w:b/>
                <w:sz w:val="24"/>
                <w:szCs w:val="24"/>
                <w:lang w:val="es-ES_tradnl"/>
              </w:rPr>
            </w:pPr>
            <w:r w:rsidRPr="0045063C">
              <w:rPr>
                <w:b/>
                <w:sz w:val="24"/>
                <w:szCs w:val="24"/>
                <w:lang w:val="es-ES_tradnl"/>
              </w:rPr>
              <w:t>Sectores de alta intensidad en inversión I+D</w:t>
            </w:r>
          </w:p>
        </w:tc>
        <w:tc>
          <w:tcPr>
            <w:tcW w:w="4323" w:type="dxa"/>
          </w:tcPr>
          <w:p w:rsidR="000459A8" w:rsidRPr="004464EF"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 xml:space="preserve">22 </w:t>
            </w:r>
            <w:r w:rsidR="00A95742" w:rsidRPr="000E6836">
              <w:rPr>
                <w:sz w:val="18"/>
                <w:szCs w:val="18"/>
                <w:lang w:val="es-ES_tradnl"/>
              </w:rPr>
              <w:t>CEEs</w:t>
            </w:r>
            <w:r w:rsidRPr="004464EF">
              <w:rPr>
                <w:sz w:val="18"/>
                <w:szCs w:val="18"/>
                <w:lang w:val="es-ES_tradnl"/>
              </w:rPr>
              <w:t xml:space="preserve"> </w:t>
            </w:r>
            <w:r>
              <w:rPr>
                <w:sz w:val="18"/>
                <w:szCs w:val="18"/>
                <w:lang w:val="es-ES_tradnl"/>
              </w:rPr>
              <w:t>se encuentran en sectores de alta intensidad en inversión I+D</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lastRenderedPageBreak/>
              <w:t>Estructura de la propiedad: iniciativa social o privada</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 xml:space="preserve">30% </w:t>
            </w:r>
            <w:r w:rsidRPr="00F62700">
              <w:rPr>
                <w:sz w:val="18"/>
                <w:szCs w:val="18"/>
                <w:lang w:val="es-ES_tradnl"/>
              </w:rPr>
              <w:t xml:space="preserve">de los </w:t>
            </w:r>
            <w:r w:rsidR="00A95742">
              <w:rPr>
                <w:sz w:val="18"/>
                <w:szCs w:val="18"/>
                <w:lang w:val="es-ES_tradnl"/>
              </w:rPr>
              <w:t>CEEs</w:t>
            </w:r>
            <w:r w:rsidRPr="00F62700">
              <w:rPr>
                <w:sz w:val="18"/>
                <w:szCs w:val="18"/>
                <w:lang w:val="es-ES_tradnl"/>
              </w:rPr>
              <w:t xml:space="preserve"> </w:t>
            </w:r>
            <w:r>
              <w:rPr>
                <w:sz w:val="18"/>
                <w:szCs w:val="18"/>
                <w:lang w:val="es-ES_tradnl"/>
              </w:rPr>
              <w:t>son de iniciativa social</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Empleo de las personas con discapacidad</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83726B">
              <w:rPr>
                <w:sz w:val="18"/>
                <w:szCs w:val="18"/>
                <w:lang w:val="es-ES_tradnl"/>
              </w:rPr>
              <w:t xml:space="preserve">De Media, un </w:t>
            </w:r>
            <w:r w:rsidRPr="000E6836">
              <w:rPr>
                <w:sz w:val="18"/>
                <w:szCs w:val="18"/>
                <w:lang w:val="es-ES_tradnl"/>
              </w:rPr>
              <w:t>9 de cada 10</w:t>
            </w:r>
            <w:r w:rsidRPr="0083726B">
              <w:rPr>
                <w:sz w:val="18"/>
                <w:szCs w:val="18"/>
                <w:lang w:val="es-ES_tradnl"/>
              </w:rPr>
              <w:t xml:space="preserve"> empleados de los </w:t>
            </w:r>
            <w:r w:rsidR="00A95742">
              <w:rPr>
                <w:sz w:val="18"/>
                <w:szCs w:val="18"/>
                <w:lang w:val="es-ES_tradnl"/>
              </w:rPr>
              <w:t>CEEs</w:t>
            </w:r>
            <w:r w:rsidRPr="0083726B">
              <w:rPr>
                <w:sz w:val="18"/>
                <w:szCs w:val="18"/>
                <w:lang w:val="es-ES_tradnl"/>
              </w:rPr>
              <w:t xml:space="preserve"> son personas con discapacidad</w:t>
            </w:r>
            <w:r>
              <w:rPr>
                <w:sz w:val="18"/>
                <w:szCs w:val="18"/>
                <w:lang w:val="es-ES_tradnl"/>
              </w:rPr>
              <w:t>.</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Evolución del empleo de las personas con discapacidad</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 xml:space="preserve">31% </w:t>
            </w:r>
            <w:r w:rsidRPr="004C4B8C">
              <w:rPr>
                <w:sz w:val="18"/>
                <w:szCs w:val="18"/>
                <w:lang w:val="es-ES_tradnl"/>
              </w:rPr>
              <w:t xml:space="preserve">de los </w:t>
            </w:r>
            <w:r w:rsidR="00A95742">
              <w:rPr>
                <w:sz w:val="18"/>
                <w:szCs w:val="18"/>
                <w:lang w:val="es-ES_tradnl"/>
              </w:rPr>
              <w:t>CEEs</w:t>
            </w:r>
            <w:r w:rsidRPr="004C4B8C">
              <w:rPr>
                <w:sz w:val="18"/>
                <w:szCs w:val="18"/>
                <w:lang w:val="es-ES_tradnl"/>
              </w:rPr>
              <w:t xml:space="preserve"> tuvieron una evolución positiva del empleo de </w:t>
            </w:r>
            <w:r w:rsidR="002329D9">
              <w:rPr>
                <w:sz w:val="18"/>
                <w:szCs w:val="18"/>
                <w:lang w:val="es-ES_tradnl"/>
              </w:rPr>
              <w:t>personas con discapacidad con especiales dificultades</w:t>
            </w:r>
            <w:r w:rsidRPr="004C4B8C">
              <w:rPr>
                <w:sz w:val="18"/>
                <w:szCs w:val="18"/>
                <w:lang w:val="es-ES_tradnl"/>
              </w:rPr>
              <w:t xml:space="preserve"> entre 2011 y 2013</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Estabilidad en el empleo de las personas con discapacidad (porcentaje de contratos indefinidos sobre el total de PCD)</w:t>
            </w:r>
          </w:p>
        </w:tc>
        <w:tc>
          <w:tcPr>
            <w:tcW w:w="4323" w:type="dxa"/>
          </w:tcPr>
          <w:p w:rsidR="000459A8" w:rsidRPr="00105028"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7 de cada 10</w:t>
            </w:r>
            <w:r>
              <w:rPr>
                <w:sz w:val="18"/>
                <w:szCs w:val="18"/>
                <w:lang w:val="es-ES_tradnl"/>
              </w:rPr>
              <w:t xml:space="preserve"> empleados de los </w:t>
            </w:r>
            <w:r w:rsidR="00A95742">
              <w:rPr>
                <w:sz w:val="18"/>
                <w:szCs w:val="18"/>
                <w:lang w:val="es-ES_tradnl"/>
              </w:rPr>
              <w:t>CEEs</w:t>
            </w:r>
            <w:r>
              <w:rPr>
                <w:sz w:val="18"/>
                <w:szCs w:val="18"/>
                <w:lang w:val="es-ES_tradnl"/>
              </w:rPr>
              <w:t xml:space="preserve"> tienen contrato indefinido</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Evolución en la estabilidad en el empleo de personas con discapacidad</w:t>
            </w:r>
          </w:p>
        </w:tc>
        <w:tc>
          <w:tcPr>
            <w:tcW w:w="4323" w:type="dxa"/>
          </w:tcPr>
          <w:p w:rsidR="000459A8" w:rsidRPr="00F62700" w:rsidRDefault="000459A8" w:rsidP="00030645">
            <w:pPr>
              <w:tabs>
                <w:tab w:val="left" w:pos="5103"/>
                <w:tab w:val="left" w:pos="5529"/>
              </w:tabs>
              <w:spacing w:line="360" w:lineRule="auto"/>
              <w:jc w:val="both"/>
              <w:rPr>
                <w:sz w:val="18"/>
                <w:szCs w:val="18"/>
                <w:lang w:val="es-ES_tradnl"/>
              </w:rPr>
            </w:pPr>
            <w:r w:rsidRPr="000E6836">
              <w:rPr>
                <w:sz w:val="18"/>
                <w:szCs w:val="18"/>
                <w:lang w:val="es-ES_tradnl"/>
              </w:rPr>
              <w:t>33%</w:t>
            </w:r>
            <w:r w:rsidR="00030645">
              <w:rPr>
                <w:sz w:val="18"/>
                <w:szCs w:val="18"/>
                <w:lang w:val="es-ES_tradnl"/>
              </w:rPr>
              <w:t xml:space="preserve"> </w:t>
            </w:r>
            <w:r w:rsidRPr="00874148">
              <w:rPr>
                <w:sz w:val="18"/>
                <w:szCs w:val="18"/>
                <w:lang w:val="es-ES_tradnl"/>
              </w:rPr>
              <w:t xml:space="preserve">de los </w:t>
            </w:r>
            <w:r w:rsidR="00A95742">
              <w:rPr>
                <w:sz w:val="18"/>
                <w:szCs w:val="18"/>
                <w:lang w:val="es-ES_tradnl"/>
              </w:rPr>
              <w:t>CEEs</w:t>
            </w:r>
            <w:r w:rsidRPr="00874148">
              <w:rPr>
                <w:sz w:val="18"/>
                <w:szCs w:val="18"/>
                <w:lang w:val="es-ES_tradnl"/>
              </w:rPr>
              <w:t xml:space="preserve"> </w:t>
            </w:r>
            <w:r>
              <w:rPr>
                <w:sz w:val="18"/>
                <w:szCs w:val="18"/>
                <w:lang w:val="es-ES_tradnl"/>
              </w:rPr>
              <w:t xml:space="preserve">aumentaron el número de contratos indefinidos entre sus trabajadores con discapacidad </w:t>
            </w:r>
            <w:r w:rsidRPr="00874148">
              <w:rPr>
                <w:sz w:val="18"/>
                <w:szCs w:val="18"/>
                <w:lang w:val="es-ES_tradnl"/>
              </w:rPr>
              <w:t>entre 2011 y 2013</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 xml:space="preserve">Equidad salarial (ratio entre el salario medio de los </w:t>
            </w:r>
            <w:r w:rsidR="00A95742">
              <w:rPr>
                <w:b/>
                <w:sz w:val="24"/>
                <w:szCs w:val="24"/>
                <w:lang w:val="es-ES_tradnl"/>
              </w:rPr>
              <w:t>CEEs</w:t>
            </w:r>
            <w:r w:rsidRPr="0045063C">
              <w:rPr>
                <w:b/>
                <w:sz w:val="24"/>
                <w:szCs w:val="24"/>
                <w:lang w:val="es-ES_tradnl"/>
              </w:rPr>
              <w:t xml:space="preserve"> y el salario medio de las PCD)</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42411F">
              <w:rPr>
                <w:sz w:val="18"/>
                <w:szCs w:val="18"/>
                <w:lang w:val="es-ES_tradnl"/>
              </w:rPr>
              <w:t xml:space="preserve">Los </w:t>
            </w:r>
            <w:r>
              <w:rPr>
                <w:sz w:val="18"/>
                <w:szCs w:val="18"/>
                <w:lang w:val="es-ES_tradnl"/>
              </w:rPr>
              <w:t xml:space="preserve">salarios ofrecidos por los </w:t>
            </w:r>
            <w:r w:rsidR="00263316">
              <w:rPr>
                <w:sz w:val="18"/>
                <w:szCs w:val="18"/>
                <w:lang w:val="es-ES_tradnl"/>
              </w:rPr>
              <w:t>CEEs</w:t>
            </w:r>
            <w:r>
              <w:rPr>
                <w:sz w:val="18"/>
                <w:szCs w:val="18"/>
                <w:lang w:val="es-ES_tradnl"/>
              </w:rPr>
              <w:t xml:space="preserve"> son </w:t>
            </w:r>
            <w:r w:rsidRPr="000E6836">
              <w:rPr>
                <w:sz w:val="18"/>
                <w:szCs w:val="18"/>
                <w:lang w:val="es-ES_tradnl"/>
              </w:rPr>
              <w:t xml:space="preserve">1,41 </w:t>
            </w:r>
            <w:r>
              <w:rPr>
                <w:sz w:val="18"/>
                <w:szCs w:val="18"/>
                <w:lang w:val="es-ES_tradnl"/>
              </w:rPr>
              <w:t>veces superiores al salario medio de las PCD</w:t>
            </w:r>
            <w:r w:rsidR="00030645">
              <w:rPr>
                <w:sz w:val="18"/>
                <w:szCs w:val="18"/>
                <w:lang w:val="es-ES_tradnl"/>
              </w:rPr>
              <w:t>.</w:t>
            </w:r>
          </w:p>
        </w:tc>
      </w:tr>
      <w:tr w:rsidR="000459A8" w:rsidTr="000459A8">
        <w:tc>
          <w:tcPr>
            <w:tcW w:w="4322" w:type="dxa"/>
          </w:tcPr>
          <w:p w:rsidR="000459A8" w:rsidRPr="0045063C" w:rsidRDefault="000459A8" w:rsidP="000459A8">
            <w:pPr>
              <w:tabs>
                <w:tab w:val="left" w:pos="5103"/>
                <w:tab w:val="left" w:pos="5529"/>
              </w:tabs>
              <w:spacing w:line="360" w:lineRule="auto"/>
              <w:jc w:val="both"/>
              <w:rPr>
                <w:b/>
                <w:sz w:val="24"/>
                <w:szCs w:val="24"/>
                <w:lang w:val="es-ES_tradnl"/>
              </w:rPr>
            </w:pPr>
            <w:r w:rsidRPr="0045063C">
              <w:rPr>
                <w:b/>
                <w:sz w:val="24"/>
                <w:szCs w:val="24"/>
                <w:lang w:val="es-ES_tradnl"/>
              </w:rPr>
              <w:t xml:space="preserve">Equidad de las </w:t>
            </w:r>
            <w:r w:rsidR="002329D9">
              <w:rPr>
                <w:b/>
                <w:sz w:val="24"/>
                <w:szCs w:val="24"/>
                <w:lang w:val="es-ES_tradnl"/>
              </w:rPr>
              <w:t>personas con discapacidad con especiales dificultades</w:t>
            </w:r>
            <w:r w:rsidRPr="0045063C">
              <w:rPr>
                <w:b/>
                <w:sz w:val="24"/>
                <w:szCs w:val="24"/>
                <w:lang w:val="es-ES_tradnl"/>
              </w:rPr>
              <w:t>.</w:t>
            </w:r>
          </w:p>
        </w:tc>
        <w:tc>
          <w:tcPr>
            <w:tcW w:w="4323" w:type="dxa"/>
          </w:tcPr>
          <w:p w:rsidR="000459A8" w:rsidRPr="000E6836" w:rsidRDefault="0045063C" w:rsidP="000E6836">
            <w:pPr>
              <w:tabs>
                <w:tab w:val="left" w:pos="5103"/>
                <w:tab w:val="left" w:pos="5529"/>
              </w:tabs>
              <w:spacing w:line="360" w:lineRule="auto"/>
              <w:jc w:val="both"/>
              <w:rPr>
                <w:sz w:val="18"/>
                <w:szCs w:val="18"/>
                <w:lang w:val="es-ES_tradnl"/>
              </w:rPr>
            </w:pPr>
            <w:r>
              <w:rPr>
                <w:sz w:val="18"/>
                <w:szCs w:val="18"/>
                <w:lang w:val="es-ES_tradnl"/>
              </w:rPr>
              <w:t>U</w:t>
            </w:r>
            <w:r w:rsidR="000459A8" w:rsidRPr="004A39A4">
              <w:rPr>
                <w:sz w:val="18"/>
                <w:szCs w:val="18"/>
                <w:lang w:val="es-ES_tradnl"/>
              </w:rPr>
              <w:t xml:space="preserve">n </w:t>
            </w:r>
            <w:r w:rsidR="000459A8" w:rsidRPr="000E6836">
              <w:rPr>
                <w:sz w:val="18"/>
                <w:szCs w:val="18"/>
                <w:lang w:val="es-ES_tradnl"/>
              </w:rPr>
              <w:t xml:space="preserve">40% </w:t>
            </w:r>
            <w:r w:rsidR="000459A8" w:rsidRPr="004A39A4">
              <w:rPr>
                <w:sz w:val="18"/>
                <w:szCs w:val="18"/>
                <w:lang w:val="es-ES_tradnl"/>
              </w:rPr>
              <w:t>de los trabajadores de lo</w:t>
            </w:r>
            <w:r w:rsidR="000459A8">
              <w:rPr>
                <w:sz w:val="18"/>
                <w:szCs w:val="18"/>
                <w:lang w:val="es-ES_tradnl"/>
              </w:rPr>
              <w:t xml:space="preserve">s </w:t>
            </w:r>
            <w:r w:rsidR="00A95742">
              <w:rPr>
                <w:sz w:val="18"/>
                <w:szCs w:val="18"/>
                <w:lang w:val="es-ES_tradnl"/>
              </w:rPr>
              <w:t>CEEs</w:t>
            </w:r>
            <w:r w:rsidR="00F72EDA">
              <w:rPr>
                <w:sz w:val="18"/>
                <w:szCs w:val="18"/>
                <w:lang w:val="es-ES_tradnl"/>
              </w:rPr>
              <w:t xml:space="preserve"> tienen especiales dificultades.</w:t>
            </w:r>
          </w:p>
        </w:tc>
      </w:tr>
      <w:tr w:rsidR="000459A8" w:rsidTr="000459A8">
        <w:tc>
          <w:tcPr>
            <w:tcW w:w="4322" w:type="dxa"/>
          </w:tcPr>
          <w:p w:rsidR="000459A8" w:rsidRPr="0045063C" w:rsidRDefault="000459A8" w:rsidP="000459A8">
            <w:pPr>
              <w:tabs>
                <w:tab w:val="left" w:pos="5103"/>
                <w:tab w:val="left" w:pos="5529"/>
              </w:tabs>
              <w:spacing w:line="360" w:lineRule="auto"/>
              <w:rPr>
                <w:b/>
                <w:sz w:val="24"/>
                <w:szCs w:val="24"/>
                <w:lang w:val="es-ES_tradnl"/>
              </w:rPr>
            </w:pPr>
            <w:r w:rsidRPr="0045063C">
              <w:rPr>
                <w:b/>
                <w:sz w:val="24"/>
                <w:szCs w:val="24"/>
                <w:lang w:val="es-ES_tradnl"/>
              </w:rPr>
              <w:t xml:space="preserve">Evolución del empleo de </w:t>
            </w:r>
            <w:r w:rsidR="002329D9">
              <w:rPr>
                <w:b/>
                <w:sz w:val="24"/>
                <w:szCs w:val="24"/>
                <w:lang w:val="es-ES_tradnl"/>
              </w:rPr>
              <w:t>personas con discapacidad con especiales dificultades</w:t>
            </w:r>
          </w:p>
        </w:tc>
        <w:tc>
          <w:tcPr>
            <w:tcW w:w="4323" w:type="dxa"/>
          </w:tcPr>
          <w:p w:rsidR="000459A8" w:rsidRPr="004464EF" w:rsidRDefault="0045063C" w:rsidP="000E6836">
            <w:pPr>
              <w:tabs>
                <w:tab w:val="left" w:pos="5103"/>
                <w:tab w:val="left" w:pos="5529"/>
              </w:tabs>
              <w:spacing w:line="360" w:lineRule="auto"/>
              <w:jc w:val="both"/>
              <w:rPr>
                <w:sz w:val="18"/>
                <w:szCs w:val="18"/>
                <w:lang w:val="es-ES_tradnl"/>
              </w:rPr>
            </w:pPr>
            <w:r>
              <w:rPr>
                <w:sz w:val="18"/>
                <w:szCs w:val="18"/>
                <w:lang w:val="es-ES_tradnl"/>
              </w:rPr>
              <w:t>L</w:t>
            </w:r>
            <w:r w:rsidR="000459A8" w:rsidRPr="00365F00">
              <w:rPr>
                <w:sz w:val="18"/>
                <w:szCs w:val="18"/>
                <w:lang w:val="es-ES_tradnl"/>
              </w:rPr>
              <w:t xml:space="preserve">os </w:t>
            </w:r>
            <w:r w:rsidR="00A95742">
              <w:rPr>
                <w:sz w:val="18"/>
                <w:szCs w:val="18"/>
                <w:lang w:val="es-ES_tradnl"/>
              </w:rPr>
              <w:t>CEEs</w:t>
            </w:r>
            <w:r w:rsidR="000459A8" w:rsidRPr="00365F00">
              <w:rPr>
                <w:sz w:val="18"/>
                <w:szCs w:val="18"/>
                <w:lang w:val="es-ES_tradnl"/>
              </w:rPr>
              <w:t xml:space="preserve"> tuvieron una evol</w:t>
            </w:r>
            <w:r w:rsidR="000459A8">
              <w:rPr>
                <w:sz w:val="18"/>
                <w:szCs w:val="18"/>
                <w:lang w:val="es-ES_tradnl"/>
              </w:rPr>
              <w:t xml:space="preserve">ución </w:t>
            </w:r>
            <w:r w:rsidR="00030645">
              <w:rPr>
                <w:sz w:val="18"/>
                <w:szCs w:val="18"/>
                <w:lang w:val="es-ES_tradnl"/>
              </w:rPr>
              <w:t xml:space="preserve">positiva </w:t>
            </w:r>
            <w:r w:rsidR="000459A8">
              <w:rPr>
                <w:sz w:val="18"/>
                <w:szCs w:val="18"/>
                <w:lang w:val="es-ES_tradnl"/>
              </w:rPr>
              <w:t xml:space="preserve">del empleo de </w:t>
            </w:r>
            <w:r w:rsidR="002329D9">
              <w:rPr>
                <w:sz w:val="18"/>
                <w:szCs w:val="18"/>
                <w:lang w:val="es-ES_tradnl"/>
              </w:rPr>
              <w:t>personas con discapacidad con especiales dificultades</w:t>
            </w:r>
            <w:r w:rsidR="000459A8" w:rsidRPr="00365F00">
              <w:rPr>
                <w:sz w:val="18"/>
                <w:szCs w:val="18"/>
                <w:lang w:val="es-ES_tradnl"/>
              </w:rPr>
              <w:t xml:space="preserve"> </w:t>
            </w:r>
            <w:r w:rsidR="000459A8">
              <w:rPr>
                <w:sz w:val="18"/>
                <w:szCs w:val="18"/>
                <w:lang w:val="es-ES_tradnl"/>
              </w:rPr>
              <w:t xml:space="preserve">del </w:t>
            </w:r>
            <w:r w:rsidR="000459A8" w:rsidRPr="000E6836">
              <w:rPr>
                <w:sz w:val="18"/>
                <w:szCs w:val="18"/>
                <w:lang w:val="es-ES_tradnl"/>
              </w:rPr>
              <w:t xml:space="preserve">2% </w:t>
            </w:r>
            <w:r w:rsidR="000459A8" w:rsidRPr="00365F00">
              <w:rPr>
                <w:sz w:val="18"/>
                <w:szCs w:val="18"/>
                <w:lang w:val="es-ES_tradnl"/>
              </w:rPr>
              <w:t>entre 2011 y 2013</w:t>
            </w:r>
          </w:p>
        </w:tc>
      </w:tr>
      <w:tr w:rsidR="000459A8" w:rsidTr="000459A8">
        <w:tc>
          <w:tcPr>
            <w:tcW w:w="4322" w:type="dxa"/>
          </w:tcPr>
          <w:p w:rsidR="000459A8" w:rsidRPr="0045063C" w:rsidRDefault="000459A8" w:rsidP="000459A8">
            <w:pPr>
              <w:tabs>
                <w:tab w:val="left" w:pos="5103"/>
                <w:tab w:val="left" w:pos="5529"/>
              </w:tabs>
              <w:spacing w:line="360" w:lineRule="auto"/>
              <w:rPr>
                <w:b/>
                <w:sz w:val="24"/>
                <w:szCs w:val="24"/>
                <w:lang w:val="es-ES_tradnl"/>
              </w:rPr>
            </w:pPr>
            <w:r w:rsidRPr="0045063C">
              <w:rPr>
                <w:b/>
                <w:sz w:val="24"/>
                <w:szCs w:val="24"/>
                <w:lang w:val="es-ES_tradnl"/>
              </w:rPr>
              <w:t>Empleo Femenino</w:t>
            </w:r>
          </w:p>
        </w:tc>
        <w:tc>
          <w:tcPr>
            <w:tcW w:w="4323" w:type="dxa"/>
          </w:tcPr>
          <w:p w:rsidR="000459A8" w:rsidRPr="00F62700" w:rsidRDefault="00F57298" w:rsidP="000E6836">
            <w:pPr>
              <w:tabs>
                <w:tab w:val="left" w:pos="5103"/>
                <w:tab w:val="left" w:pos="5529"/>
              </w:tabs>
              <w:spacing w:line="360" w:lineRule="auto"/>
              <w:jc w:val="both"/>
              <w:rPr>
                <w:sz w:val="18"/>
                <w:szCs w:val="18"/>
                <w:lang w:val="es-ES_tradnl"/>
              </w:rPr>
            </w:pPr>
            <w:r>
              <w:rPr>
                <w:sz w:val="18"/>
                <w:szCs w:val="18"/>
                <w:lang w:val="es-ES_tradnl"/>
              </w:rPr>
              <w:t>En u</w:t>
            </w:r>
            <w:r w:rsidR="000459A8">
              <w:rPr>
                <w:sz w:val="18"/>
                <w:szCs w:val="18"/>
                <w:lang w:val="es-ES_tradnl"/>
              </w:rPr>
              <w:t xml:space="preserve">n </w:t>
            </w:r>
            <w:r w:rsidRPr="000E6836">
              <w:rPr>
                <w:sz w:val="18"/>
                <w:szCs w:val="18"/>
                <w:lang w:val="es-ES_tradnl"/>
              </w:rPr>
              <w:t>60</w:t>
            </w:r>
            <w:r w:rsidR="000459A8" w:rsidRPr="000E6836">
              <w:rPr>
                <w:sz w:val="18"/>
                <w:szCs w:val="18"/>
                <w:lang w:val="es-ES_tradnl"/>
              </w:rPr>
              <w:t>%</w:t>
            </w:r>
            <w:r w:rsidR="000459A8">
              <w:rPr>
                <w:sz w:val="18"/>
                <w:szCs w:val="18"/>
                <w:lang w:val="es-ES_tradnl"/>
              </w:rPr>
              <w:t xml:space="preserve"> de los </w:t>
            </w:r>
            <w:r w:rsidR="00A95742">
              <w:rPr>
                <w:sz w:val="18"/>
                <w:szCs w:val="18"/>
                <w:lang w:val="es-ES_tradnl"/>
              </w:rPr>
              <w:t>CEEs</w:t>
            </w:r>
            <w:r w:rsidR="00030645">
              <w:rPr>
                <w:sz w:val="18"/>
                <w:szCs w:val="18"/>
                <w:lang w:val="es-ES_tradnl"/>
              </w:rPr>
              <w:t>,</w:t>
            </w:r>
            <w:r w:rsidR="000459A8">
              <w:rPr>
                <w:sz w:val="18"/>
                <w:szCs w:val="18"/>
                <w:lang w:val="es-ES_tradnl"/>
              </w:rPr>
              <w:t xml:space="preserve"> </w:t>
            </w:r>
            <w:r>
              <w:rPr>
                <w:sz w:val="18"/>
                <w:szCs w:val="18"/>
                <w:lang w:val="es-ES_tradnl"/>
              </w:rPr>
              <w:t xml:space="preserve">más de un 25% </w:t>
            </w:r>
            <w:r w:rsidR="000459A8">
              <w:rPr>
                <w:sz w:val="18"/>
                <w:szCs w:val="18"/>
                <w:lang w:val="es-ES_tradnl"/>
              </w:rPr>
              <w:t>de los empl</w:t>
            </w:r>
            <w:r>
              <w:rPr>
                <w:sz w:val="18"/>
                <w:szCs w:val="18"/>
                <w:lang w:val="es-ES_tradnl"/>
              </w:rPr>
              <w:t>eados so</w:t>
            </w:r>
            <w:r w:rsidR="000459A8">
              <w:rPr>
                <w:sz w:val="18"/>
                <w:szCs w:val="18"/>
                <w:lang w:val="es-ES_tradnl"/>
              </w:rPr>
              <w:t>n mujeres.</w:t>
            </w:r>
          </w:p>
        </w:tc>
      </w:tr>
      <w:tr w:rsidR="000459A8" w:rsidTr="000459A8">
        <w:tc>
          <w:tcPr>
            <w:tcW w:w="4322" w:type="dxa"/>
          </w:tcPr>
          <w:p w:rsidR="000459A8" w:rsidRPr="0045063C" w:rsidRDefault="000459A8" w:rsidP="000459A8">
            <w:pPr>
              <w:tabs>
                <w:tab w:val="left" w:pos="5103"/>
                <w:tab w:val="left" w:pos="5529"/>
              </w:tabs>
              <w:spacing w:line="360" w:lineRule="auto"/>
              <w:rPr>
                <w:b/>
                <w:sz w:val="24"/>
                <w:szCs w:val="24"/>
                <w:lang w:val="es-ES_tradnl"/>
              </w:rPr>
            </w:pPr>
            <w:r w:rsidRPr="0045063C">
              <w:rPr>
                <w:b/>
                <w:sz w:val="24"/>
                <w:szCs w:val="24"/>
                <w:lang w:val="es-ES_tradnl"/>
              </w:rPr>
              <w:t>Empleo de personas con discapacidad en edades de mayor dificultad de acceso al mercado laboral (&gt;55 años y &lt;25 años)</w:t>
            </w:r>
          </w:p>
        </w:tc>
        <w:tc>
          <w:tcPr>
            <w:tcW w:w="4323" w:type="dxa"/>
          </w:tcPr>
          <w:p w:rsidR="000459A8" w:rsidRPr="004C4B8C" w:rsidRDefault="000459A8" w:rsidP="000E6836">
            <w:pPr>
              <w:tabs>
                <w:tab w:val="left" w:pos="5103"/>
                <w:tab w:val="left" w:pos="5529"/>
              </w:tabs>
              <w:spacing w:line="360" w:lineRule="auto"/>
              <w:jc w:val="both"/>
              <w:rPr>
                <w:sz w:val="18"/>
                <w:szCs w:val="18"/>
                <w:lang w:val="es-ES_tradnl"/>
              </w:rPr>
            </w:pPr>
            <w:r>
              <w:rPr>
                <w:sz w:val="18"/>
                <w:szCs w:val="18"/>
                <w:lang w:val="es-ES_tradnl"/>
              </w:rPr>
              <w:t xml:space="preserve">Un </w:t>
            </w:r>
            <w:r w:rsidRPr="000E6836">
              <w:rPr>
                <w:sz w:val="18"/>
                <w:szCs w:val="18"/>
                <w:lang w:val="es-ES_tradnl"/>
              </w:rPr>
              <w:t>81%</w:t>
            </w:r>
            <w:r>
              <w:rPr>
                <w:sz w:val="18"/>
                <w:szCs w:val="18"/>
                <w:lang w:val="es-ES_tradnl"/>
              </w:rPr>
              <w:t xml:space="preserve"> de los </w:t>
            </w:r>
            <w:r w:rsidR="00A95742">
              <w:rPr>
                <w:sz w:val="18"/>
                <w:szCs w:val="18"/>
                <w:lang w:val="es-ES_tradnl"/>
              </w:rPr>
              <w:t>CEEs</w:t>
            </w:r>
            <w:r>
              <w:rPr>
                <w:sz w:val="18"/>
                <w:szCs w:val="18"/>
                <w:lang w:val="es-ES_tradnl"/>
              </w:rPr>
              <w:t xml:space="preserve"> cumple con el requisito establecido de que al menos 2 de cada 10 personas contratadas sean mayores de 55 años o menores de 25.</w:t>
            </w:r>
          </w:p>
        </w:tc>
      </w:tr>
      <w:tr w:rsidR="000459A8" w:rsidTr="000459A8">
        <w:tc>
          <w:tcPr>
            <w:tcW w:w="4322" w:type="dxa"/>
          </w:tcPr>
          <w:p w:rsidR="000459A8" w:rsidRPr="0045063C" w:rsidRDefault="000459A8" w:rsidP="000459A8">
            <w:pPr>
              <w:tabs>
                <w:tab w:val="left" w:pos="5103"/>
                <w:tab w:val="left" w:pos="5529"/>
              </w:tabs>
              <w:spacing w:line="360" w:lineRule="auto"/>
              <w:rPr>
                <w:b/>
                <w:sz w:val="24"/>
                <w:szCs w:val="24"/>
                <w:lang w:val="es-ES_tradnl"/>
              </w:rPr>
            </w:pPr>
            <w:r w:rsidRPr="0045063C">
              <w:rPr>
                <w:b/>
                <w:sz w:val="24"/>
                <w:szCs w:val="24"/>
                <w:lang w:val="es-ES_tradnl"/>
              </w:rPr>
              <w:t>Empleo de personas con discapacidad sin estudios o con estudios básicos</w:t>
            </w:r>
          </w:p>
        </w:tc>
        <w:tc>
          <w:tcPr>
            <w:tcW w:w="4323" w:type="dxa"/>
          </w:tcPr>
          <w:p w:rsidR="000459A8" w:rsidRPr="000E6836" w:rsidRDefault="000459A8" w:rsidP="000E6836">
            <w:pPr>
              <w:tabs>
                <w:tab w:val="left" w:pos="5103"/>
                <w:tab w:val="left" w:pos="5529"/>
              </w:tabs>
              <w:spacing w:line="360" w:lineRule="auto"/>
              <w:jc w:val="both"/>
              <w:rPr>
                <w:sz w:val="18"/>
                <w:szCs w:val="18"/>
                <w:lang w:val="es-ES_tradnl"/>
              </w:rPr>
            </w:pPr>
            <w:r w:rsidRPr="000E6836">
              <w:rPr>
                <w:sz w:val="18"/>
                <w:szCs w:val="18"/>
                <w:lang w:val="es-ES_tradnl"/>
              </w:rPr>
              <w:t>7 de cada 10 personas</w:t>
            </w:r>
            <w:r>
              <w:rPr>
                <w:sz w:val="18"/>
                <w:szCs w:val="18"/>
                <w:lang w:val="es-ES_tradnl"/>
              </w:rPr>
              <w:t xml:space="preserve"> empleadas por los </w:t>
            </w:r>
            <w:r w:rsidR="00A95742">
              <w:rPr>
                <w:sz w:val="18"/>
                <w:szCs w:val="18"/>
                <w:lang w:val="es-ES_tradnl"/>
              </w:rPr>
              <w:t>CEEs</w:t>
            </w:r>
            <w:r>
              <w:rPr>
                <w:sz w:val="18"/>
                <w:szCs w:val="18"/>
                <w:lang w:val="es-ES_tradnl"/>
              </w:rPr>
              <w:t xml:space="preserve"> no tienen estudios o tienen estudios básicos</w:t>
            </w:r>
          </w:p>
        </w:tc>
      </w:tr>
      <w:tr w:rsidR="000459A8" w:rsidTr="000459A8">
        <w:tc>
          <w:tcPr>
            <w:tcW w:w="4322" w:type="dxa"/>
          </w:tcPr>
          <w:p w:rsidR="000459A8" w:rsidRPr="0045063C" w:rsidRDefault="000459A8" w:rsidP="000459A8">
            <w:pPr>
              <w:tabs>
                <w:tab w:val="left" w:pos="5103"/>
                <w:tab w:val="left" w:pos="5529"/>
              </w:tabs>
              <w:spacing w:line="360" w:lineRule="auto"/>
              <w:rPr>
                <w:b/>
                <w:sz w:val="24"/>
                <w:szCs w:val="24"/>
                <w:lang w:val="es-ES_tradnl"/>
              </w:rPr>
            </w:pPr>
            <w:r w:rsidRPr="0045063C">
              <w:rPr>
                <w:b/>
                <w:sz w:val="24"/>
                <w:szCs w:val="24"/>
                <w:lang w:val="es-ES_tradnl"/>
              </w:rPr>
              <w:t xml:space="preserve">Dinamización de los entornos rurales (&lt; </w:t>
            </w:r>
            <w:r w:rsidRPr="0045063C">
              <w:rPr>
                <w:b/>
                <w:sz w:val="24"/>
                <w:szCs w:val="24"/>
                <w:lang w:val="es-ES_tradnl"/>
              </w:rPr>
              <w:lastRenderedPageBreak/>
              <w:t>20.000 habitantes)</w:t>
            </w:r>
          </w:p>
        </w:tc>
        <w:tc>
          <w:tcPr>
            <w:tcW w:w="4323" w:type="dxa"/>
          </w:tcPr>
          <w:p w:rsidR="000459A8" w:rsidRPr="00F62700" w:rsidRDefault="0045063C" w:rsidP="000E6836">
            <w:pPr>
              <w:tabs>
                <w:tab w:val="left" w:pos="5103"/>
                <w:tab w:val="left" w:pos="5529"/>
              </w:tabs>
              <w:spacing w:line="360" w:lineRule="auto"/>
              <w:jc w:val="both"/>
              <w:rPr>
                <w:sz w:val="18"/>
                <w:szCs w:val="18"/>
                <w:lang w:val="es-ES_tradnl"/>
              </w:rPr>
            </w:pPr>
            <w:r>
              <w:rPr>
                <w:sz w:val="18"/>
                <w:szCs w:val="18"/>
                <w:lang w:val="es-ES_tradnl"/>
              </w:rPr>
              <w:lastRenderedPageBreak/>
              <w:t>L</w:t>
            </w:r>
            <w:r w:rsidR="000E6836">
              <w:rPr>
                <w:sz w:val="18"/>
                <w:szCs w:val="18"/>
                <w:lang w:val="es-ES_tradnl"/>
              </w:rPr>
              <w:t>a</w:t>
            </w:r>
            <w:r>
              <w:rPr>
                <w:sz w:val="18"/>
                <w:szCs w:val="18"/>
                <w:lang w:val="es-ES_tradnl"/>
              </w:rPr>
              <w:t xml:space="preserve"> </w:t>
            </w:r>
            <w:r w:rsidR="000459A8">
              <w:rPr>
                <w:sz w:val="18"/>
                <w:szCs w:val="18"/>
                <w:lang w:val="es-ES_tradnl"/>
              </w:rPr>
              <w:t>mayoría de ellos se encuentran en entornos urbanos</w:t>
            </w:r>
            <w:r w:rsidR="000E6836">
              <w:rPr>
                <w:sz w:val="18"/>
                <w:szCs w:val="18"/>
                <w:lang w:val="es-ES_tradnl"/>
              </w:rPr>
              <w:t>.</w:t>
            </w:r>
            <w:r w:rsidR="000459A8">
              <w:rPr>
                <w:sz w:val="18"/>
                <w:szCs w:val="18"/>
                <w:lang w:val="es-ES_tradnl"/>
              </w:rPr>
              <w:t xml:space="preserve"> </w:t>
            </w:r>
          </w:p>
        </w:tc>
      </w:tr>
    </w:tbl>
    <w:p w:rsidR="00856081" w:rsidRDefault="00856081" w:rsidP="00856081">
      <w:pPr>
        <w:spacing w:line="360" w:lineRule="auto"/>
        <w:jc w:val="both"/>
        <w:rPr>
          <w:sz w:val="24"/>
          <w:szCs w:val="24"/>
          <w:lang w:val="es-ES_tradnl"/>
        </w:rPr>
      </w:pPr>
    </w:p>
    <w:p w:rsidR="00856081" w:rsidRDefault="00856081" w:rsidP="00856081">
      <w:pPr>
        <w:pStyle w:val="Ttulo2"/>
        <w:rPr>
          <w:lang w:val="es-ES_tradnl"/>
        </w:rPr>
      </w:pPr>
      <w:bookmarkStart w:id="225" w:name="_Toc410916870"/>
      <w:r>
        <w:rPr>
          <w:lang w:val="es-ES_tradnl"/>
        </w:rPr>
        <w:t>Centros robustos y con un significativo impacto social</w:t>
      </w:r>
      <w:bookmarkEnd w:id="225"/>
    </w:p>
    <w:p w:rsidR="00856081" w:rsidRPr="00BE20A7" w:rsidRDefault="00856081" w:rsidP="00856081">
      <w:pPr>
        <w:autoSpaceDE w:val="0"/>
        <w:autoSpaceDN w:val="0"/>
        <w:spacing w:line="360" w:lineRule="auto"/>
        <w:jc w:val="both"/>
        <w:rPr>
          <w:b/>
          <w:sz w:val="24"/>
          <w:szCs w:val="24"/>
          <w:lang w:val="es-ES_tradnl"/>
        </w:rPr>
      </w:pPr>
    </w:p>
    <w:p w:rsidR="00856081" w:rsidRDefault="00856081" w:rsidP="00856081">
      <w:pPr>
        <w:pBdr>
          <w:bottom w:val="single" w:sz="4" w:space="1" w:color="auto"/>
        </w:pBdr>
        <w:autoSpaceDE w:val="0"/>
        <w:autoSpaceDN w:val="0"/>
        <w:spacing w:line="360" w:lineRule="auto"/>
        <w:jc w:val="both"/>
        <w:rPr>
          <w:sz w:val="24"/>
          <w:szCs w:val="24"/>
          <w:lang w:val="es-ES_tradnl"/>
        </w:rPr>
      </w:pPr>
      <w:r w:rsidRPr="00BE20A7">
        <w:rPr>
          <w:sz w:val="24"/>
          <w:szCs w:val="24"/>
          <w:lang w:val="es-ES_tradnl"/>
        </w:rPr>
        <w:t xml:space="preserve">Los </w:t>
      </w:r>
      <w:r w:rsidR="00030645">
        <w:rPr>
          <w:sz w:val="24"/>
          <w:szCs w:val="24"/>
          <w:lang w:val="es-ES_tradnl"/>
        </w:rPr>
        <w:t>centros</w:t>
      </w:r>
      <w:r w:rsidRPr="00BE20A7">
        <w:rPr>
          <w:sz w:val="24"/>
          <w:szCs w:val="24"/>
          <w:lang w:val="es-ES_tradnl"/>
        </w:rPr>
        <w:t xml:space="preserve"> analizad</w:t>
      </w:r>
      <w:r w:rsidR="00030645">
        <w:rPr>
          <w:sz w:val="24"/>
          <w:szCs w:val="24"/>
          <w:lang w:val="es-ES_tradnl"/>
        </w:rPr>
        <w:t>os</w:t>
      </w:r>
      <w:r w:rsidRPr="00BE20A7">
        <w:rPr>
          <w:sz w:val="24"/>
          <w:szCs w:val="24"/>
          <w:lang w:val="es-ES_tradnl"/>
        </w:rPr>
        <w:t xml:space="preserve"> suponen alrededor del 9</w:t>
      </w:r>
      <w:r w:rsidR="00E43BD3">
        <w:rPr>
          <w:sz w:val="24"/>
          <w:szCs w:val="24"/>
          <w:lang w:val="es-ES_tradnl"/>
        </w:rPr>
        <w:t>0</w:t>
      </w:r>
      <w:r w:rsidRPr="00BE20A7">
        <w:rPr>
          <w:sz w:val="24"/>
          <w:szCs w:val="24"/>
          <w:lang w:val="es-ES_tradnl"/>
        </w:rPr>
        <w:t xml:space="preserve">% del empleo </w:t>
      </w:r>
      <w:r w:rsidR="00065299">
        <w:rPr>
          <w:sz w:val="24"/>
          <w:szCs w:val="24"/>
          <w:lang w:val="es-ES_tradnl"/>
        </w:rPr>
        <w:t xml:space="preserve">total </w:t>
      </w:r>
      <w:r w:rsidRPr="00BE20A7">
        <w:rPr>
          <w:sz w:val="24"/>
          <w:szCs w:val="24"/>
          <w:lang w:val="es-ES_tradnl"/>
        </w:rPr>
        <w:t xml:space="preserve">en </w:t>
      </w:r>
      <w:r w:rsidR="00263316">
        <w:rPr>
          <w:sz w:val="24"/>
          <w:szCs w:val="24"/>
          <w:lang w:val="es-ES_tradnl"/>
        </w:rPr>
        <w:t>CEEs</w:t>
      </w:r>
      <w:r w:rsidRPr="00BE20A7">
        <w:rPr>
          <w:sz w:val="24"/>
          <w:szCs w:val="24"/>
          <w:lang w:val="es-ES_tradnl"/>
        </w:rPr>
        <w:t xml:space="preserve"> de Castilla y León.  </w:t>
      </w:r>
      <w:r w:rsidR="00F63712">
        <w:rPr>
          <w:sz w:val="24"/>
          <w:szCs w:val="24"/>
          <w:lang w:val="es-ES_tradnl"/>
        </w:rPr>
        <w:t>E</w:t>
      </w:r>
      <w:r w:rsidRPr="00BE20A7">
        <w:rPr>
          <w:sz w:val="24"/>
          <w:szCs w:val="24"/>
          <w:lang w:val="es-ES_tradnl"/>
        </w:rPr>
        <w:t>l cierre de algún centro durante el periodo de evaluación, 2011-2</w:t>
      </w:r>
      <w:r w:rsidR="00F63712">
        <w:rPr>
          <w:sz w:val="24"/>
          <w:szCs w:val="24"/>
          <w:lang w:val="es-ES_tradnl"/>
        </w:rPr>
        <w:t xml:space="preserve">013, o la falta de información </w:t>
      </w:r>
      <w:r w:rsidR="0045063C">
        <w:rPr>
          <w:sz w:val="24"/>
          <w:szCs w:val="24"/>
          <w:lang w:val="es-ES_tradnl"/>
        </w:rPr>
        <w:t xml:space="preserve">reportada </w:t>
      </w:r>
      <w:r w:rsidR="00F63712">
        <w:rPr>
          <w:sz w:val="24"/>
          <w:szCs w:val="24"/>
          <w:lang w:val="es-ES_tradnl"/>
        </w:rPr>
        <w:t xml:space="preserve">son las principales </w:t>
      </w:r>
      <w:r w:rsidR="00030645">
        <w:rPr>
          <w:sz w:val="24"/>
          <w:szCs w:val="24"/>
          <w:lang w:val="es-ES_tradnl"/>
        </w:rPr>
        <w:t xml:space="preserve">razones </w:t>
      </w:r>
      <w:r w:rsidR="00E43BD3">
        <w:rPr>
          <w:sz w:val="24"/>
          <w:szCs w:val="24"/>
          <w:lang w:val="es-ES_tradnl"/>
        </w:rPr>
        <w:t>por las que</w:t>
      </w:r>
      <w:r w:rsidR="00F63712">
        <w:rPr>
          <w:sz w:val="24"/>
          <w:szCs w:val="24"/>
          <w:lang w:val="es-ES_tradnl"/>
        </w:rPr>
        <w:t xml:space="preserve"> algunos </w:t>
      </w:r>
      <w:r w:rsidR="00A95742">
        <w:rPr>
          <w:sz w:val="24"/>
          <w:szCs w:val="24"/>
          <w:lang w:val="es-ES_tradnl"/>
        </w:rPr>
        <w:t>CEEs</w:t>
      </w:r>
      <w:r w:rsidR="00E43BD3">
        <w:rPr>
          <w:sz w:val="24"/>
          <w:szCs w:val="24"/>
          <w:lang w:val="es-ES_tradnl"/>
        </w:rPr>
        <w:t xml:space="preserve"> ha</w:t>
      </w:r>
      <w:r w:rsidR="00F63712">
        <w:rPr>
          <w:sz w:val="24"/>
          <w:szCs w:val="24"/>
          <w:lang w:val="es-ES_tradnl"/>
        </w:rPr>
        <w:t>n quedado fuera del alcance del presente informe.</w:t>
      </w:r>
    </w:p>
    <w:p w:rsidR="00856081" w:rsidRPr="00BE20A7" w:rsidRDefault="00856081" w:rsidP="00856081">
      <w:pPr>
        <w:pBdr>
          <w:bottom w:val="single" w:sz="4" w:space="1" w:color="auto"/>
        </w:pBdr>
        <w:autoSpaceDE w:val="0"/>
        <w:autoSpaceDN w:val="0"/>
        <w:spacing w:line="360" w:lineRule="auto"/>
        <w:jc w:val="both"/>
        <w:rPr>
          <w:sz w:val="24"/>
          <w:szCs w:val="24"/>
          <w:lang w:val="es-ES_tradnl"/>
        </w:rPr>
      </w:pPr>
    </w:p>
    <w:p w:rsidR="00856081" w:rsidRPr="00856081" w:rsidRDefault="004E6D08" w:rsidP="00856081">
      <w:pPr>
        <w:spacing w:before="360" w:line="360" w:lineRule="auto"/>
        <w:ind w:left="1276"/>
      </w:pPr>
      <w:r w:rsidRPr="004E6D08">
        <w:rPr>
          <w:noProof/>
          <w:lang w:eastAsia="es-ES"/>
        </w:rPr>
        <w:t xml:space="preserve"> </w:t>
      </w:r>
      <w:r>
        <w:rPr>
          <w:noProof/>
          <w:lang w:eastAsia="es-ES"/>
        </w:rPr>
        <w:drawing>
          <wp:inline distT="0" distB="0" distL="0" distR="0">
            <wp:extent cx="4219575" cy="2286001"/>
            <wp:effectExtent l="0" t="0" r="9525"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6081" w:rsidRPr="00BE20A7" w:rsidRDefault="00856081" w:rsidP="00856081">
      <w:pPr>
        <w:pBdr>
          <w:bottom w:val="single" w:sz="4" w:space="1" w:color="auto"/>
        </w:pBdr>
        <w:autoSpaceDE w:val="0"/>
        <w:autoSpaceDN w:val="0"/>
        <w:spacing w:line="360" w:lineRule="auto"/>
        <w:jc w:val="both"/>
        <w:rPr>
          <w:sz w:val="20"/>
          <w:lang w:val="es-ES_tradnl"/>
        </w:rPr>
      </w:pPr>
      <w:r w:rsidRPr="00BE20A7">
        <w:rPr>
          <w:sz w:val="20"/>
          <w:lang w:val="es-ES_tradnl"/>
        </w:rPr>
        <w:t>Fuente: Elaboración propia</w:t>
      </w:r>
    </w:p>
    <w:p w:rsidR="00856081" w:rsidRPr="00BE20A7" w:rsidRDefault="007751C0" w:rsidP="00856081">
      <w:pPr>
        <w:pBdr>
          <w:bottom w:val="single" w:sz="4" w:space="1" w:color="auto"/>
        </w:pBdr>
        <w:autoSpaceDE w:val="0"/>
        <w:autoSpaceDN w:val="0"/>
        <w:spacing w:line="360" w:lineRule="auto"/>
        <w:jc w:val="both"/>
        <w:rPr>
          <w:sz w:val="20"/>
          <w:lang w:val="es-ES_tradnl"/>
        </w:rPr>
      </w:pPr>
      <w:r>
        <w:rPr>
          <w:sz w:val="20"/>
          <w:lang w:val="es-ES_tradnl"/>
        </w:rPr>
        <w:t xml:space="preserve">Nota </w:t>
      </w:r>
      <w:r w:rsidR="00856081" w:rsidRPr="00BE20A7">
        <w:rPr>
          <w:sz w:val="20"/>
          <w:lang w:val="es-ES_tradnl"/>
        </w:rPr>
        <w:t xml:space="preserve">explicativa de la gráfica: un 77% de los centro </w:t>
      </w:r>
      <w:r w:rsidR="00030645">
        <w:rPr>
          <w:sz w:val="20"/>
          <w:lang w:val="es-ES_tradnl"/>
        </w:rPr>
        <w:t>obtienen una calificación</w:t>
      </w:r>
      <w:r w:rsidR="00856081" w:rsidRPr="00BE20A7">
        <w:rPr>
          <w:sz w:val="20"/>
          <w:lang w:val="es-ES_tradnl"/>
        </w:rPr>
        <w:t xml:space="preserve"> superior a 50 sobre 100; un 23% de los </w:t>
      </w:r>
      <w:r w:rsidR="00A95742">
        <w:rPr>
          <w:sz w:val="20"/>
          <w:lang w:val="es-ES_tradnl"/>
        </w:rPr>
        <w:t>CEEs</w:t>
      </w:r>
      <w:r w:rsidR="00856081" w:rsidRPr="00BE20A7">
        <w:rPr>
          <w:sz w:val="20"/>
          <w:lang w:val="es-ES_tradnl"/>
        </w:rPr>
        <w:t xml:space="preserve"> </w:t>
      </w:r>
      <w:r w:rsidR="00030645">
        <w:rPr>
          <w:sz w:val="20"/>
          <w:lang w:val="es-ES_tradnl"/>
        </w:rPr>
        <w:t>obtienen</w:t>
      </w:r>
      <w:r w:rsidR="00856081" w:rsidRPr="00BE20A7">
        <w:rPr>
          <w:sz w:val="20"/>
          <w:lang w:val="es-ES_tradnl"/>
        </w:rPr>
        <w:t xml:space="preserve"> una </w:t>
      </w:r>
      <w:r w:rsidR="00030645">
        <w:rPr>
          <w:sz w:val="20"/>
          <w:lang w:val="es-ES_tradnl"/>
        </w:rPr>
        <w:t>calificación</w:t>
      </w:r>
      <w:r w:rsidR="00856081" w:rsidRPr="00BE20A7">
        <w:rPr>
          <w:sz w:val="20"/>
          <w:lang w:val="es-ES_tradnl"/>
        </w:rPr>
        <w:t xml:space="preserve"> inferior a 50 sobre 100.</w:t>
      </w:r>
    </w:p>
    <w:p w:rsidR="00856081" w:rsidRPr="00842404" w:rsidRDefault="006A42A8" w:rsidP="00856081">
      <w:pPr>
        <w:autoSpaceDE w:val="0"/>
        <w:autoSpaceDN w:val="0"/>
        <w:spacing w:line="360" w:lineRule="auto"/>
        <w:jc w:val="both"/>
        <w:rPr>
          <w:sz w:val="18"/>
          <w:szCs w:val="18"/>
          <w:lang w:val="es-ES_tradnl"/>
        </w:rPr>
      </w:pPr>
      <w:r w:rsidRPr="00842404">
        <w:rPr>
          <w:sz w:val="18"/>
          <w:szCs w:val="18"/>
          <w:lang w:val="es-ES_tradnl"/>
        </w:rPr>
        <w:t>Datos de 201</w:t>
      </w:r>
      <w:r w:rsidR="00730902">
        <w:rPr>
          <w:sz w:val="18"/>
          <w:szCs w:val="18"/>
          <w:lang w:val="es-ES_tradnl"/>
        </w:rPr>
        <w:t>1</w:t>
      </w:r>
      <w:r w:rsidRPr="00842404">
        <w:rPr>
          <w:sz w:val="18"/>
          <w:szCs w:val="18"/>
          <w:lang w:val="es-ES_tradnl"/>
        </w:rPr>
        <w:t>-2013</w:t>
      </w:r>
    </w:p>
    <w:p w:rsidR="006A42A8" w:rsidRPr="00BE20A7" w:rsidRDefault="006A42A8" w:rsidP="00856081">
      <w:pPr>
        <w:autoSpaceDE w:val="0"/>
        <w:autoSpaceDN w:val="0"/>
        <w:spacing w:line="360" w:lineRule="auto"/>
        <w:jc w:val="both"/>
        <w:rPr>
          <w:sz w:val="24"/>
          <w:szCs w:val="24"/>
          <w:lang w:val="es-ES_tradnl"/>
        </w:rPr>
      </w:pPr>
    </w:p>
    <w:p w:rsidR="00856081" w:rsidRDefault="00856081" w:rsidP="00CE3A42">
      <w:pPr>
        <w:autoSpaceDE w:val="0"/>
        <w:autoSpaceDN w:val="0"/>
        <w:spacing w:line="360" w:lineRule="auto"/>
        <w:jc w:val="both"/>
        <w:rPr>
          <w:sz w:val="24"/>
          <w:szCs w:val="24"/>
          <w:lang w:val="es-ES_tradnl"/>
        </w:rPr>
      </w:pPr>
      <w:r w:rsidRPr="00BE20A7">
        <w:rPr>
          <w:sz w:val="24"/>
          <w:szCs w:val="24"/>
          <w:lang w:val="es-ES_tradnl"/>
        </w:rPr>
        <w:t xml:space="preserve">El principal mensaje </w:t>
      </w:r>
      <w:r>
        <w:rPr>
          <w:sz w:val="24"/>
          <w:szCs w:val="24"/>
          <w:lang w:val="es-ES_tradnl"/>
        </w:rPr>
        <w:t xml:space="preserve">a destacar es que los </w:t>
      </w:r>
      <w:r w:rsidR="00A95742">
        <w:rPr>
          <w:sz w:val="24"/>
          <w:szCs w:val="24"/>
          <w:lang w:val="es-ES_tradnl"/>
        </w:rPr>
        <w:t>CEEs</w:t>
      </w:r>
      <w:r>
        <w:rPr>
          <w:sz w:val="24"/>
          <w:szCs w:val="24"/>
          <w:lang w:val="es-ES_tradnl"/>
        </w:rPr>
        <w:t xml:space="preserve"> obtienen una calificación elevada</w:t>
      </w:r>
      <w:r w:rsidR="00030645">
        <w:rPr>
          <w:sz w:val="24"/>
          <w:szCs w:val="24"/>
          <w:lang w:val="es-ES_tradnl"/>
        </w:rPr>
        <w:t xml:space="preserve"> de acuerdo al análisis desarrollado</w:t>
      </w:r>
      <w:r w:rsidRPr="00BE20A7">
        <w:rPr>
          <w:sz w:val="24"/>
          <w:szCs w:val="24"/>
          <w:lang w:val="es-ES_tradnl"/>
        </w:rPr>
        <w:t xml:space="preserve">. El 77% </w:t>
      </w:r>
      <w:r>
        <w:rPr>
          <w:sz w:val="24"/>
          <w:szCs w:val="24"/>
          <w:lang w:val="es-ES_tradnl"/>
        </w:rPr>
        <w:t xml:space="preserve">obtiene una calificación </w:t>
      </w:r>
      <w:r w:rsidRPr="00BE20A7">
        <w:rPr>
          <w:sz w:val="24"/>
          <w:szCs w:val="24"/>
          <w:lang w:val="es-ES_tradnl"/>
        </w:rPr>
        <w:t>superior a 50</w:t>
      </w:r>
      <w:r>
        <w:rPr>
          <w:sz w:val="24"/>
          <w:szCs w:val="24"/>
          <w:lang w:val="es-ES_tradnl"/>
        </w:rPr>
        <w:t xml:space="preserve"> puntos</w:t>
      </w:r>
      <w:r w:rsidRPr="00BE20A7">
        <w:rPr>
          <w:sz w:val="24"/>
          <w:szCs w:val="24"/>
          <w:lang w:val="es-ES_tradnl"/>
        </w:rPr>
        <w:t>.</w:t>
      </w:r>
      <w:r>
        <w:rPr>
          <w:sz w:val="24"/>
          <w:szCs w:val="24"/>
          <w:lang w:val="es-ES_tradnl"/>
        </w:rPr>
        <w:t xml:space="preserve"> </w:t>
      </w:r>
    </w:p>
    <w:p w:rsidR="00CE3A42" w:rsidRDefault="00CE3A42" w:rsidP="00CE3A42">
      <w:pPr>
        <w:autoSpaceDE w:val="0"/>
        <w:autoSpaceDN w:val="0"/>
        <w:spacing w:line="360" w:lineRule="auto"/>
        <w:jc w:val="both"/>
        <w:rPr>
          <w:sz w:val="24"/>
          <w:szCs w:val="24"/>
          <w:lang w:val="es-ES_tradnl"/>
        </w:rPr>
      </w:pPr>
    </w:p>
    <w:p w:rsidR="00CE3A42" w:rsidRPr="00CE3A42" w:rsidRDefault="00CE3A42" w:rsidP="00CE3A42">
      <w:pPr>
        <w:autoSpaceDE w:val="0"/>
        <w:autoSpaceDN w:val="0"/>
        <w:spacing w:line="360" w:lineRule="auto"/>
        <w:jc w:val="both"/>
        <w:rPr>
          <w:sz w:val="24"/>
          <w:szCs w:val="24"/>
          <w:lang w:val="es-ES_tradnl"/>
        </w:rPr>
      </w:pPr>
      <w:r w:rsidRPr="00CE3A42">
        <w:rPr>
          <w:sz w:val="24"/>
          <w:szCs w:val="24"/>
          <w:lang w:val="es-ES_tradnl"/>
        </w:rPr>
        <w:t xml:space="preserve">De los </w:t>
      </w:r>
      <w:r w:rsidR="00BC455A">
        <w:rPr>
          <w:sz w:val="24"/>
          <w:szCs w:val="24"/>
          <w:lang w:val="es-ES_tradnl"/>
        </w:rPr>
        <w:t xml:space="preserve">centros </w:t>
      </w:r>
      <w:r w:rsidRPr="00CE3A42">
        <w:rPr>
          <w:sz w:val="24"/>
          <w:szCs w:val="24"/>
          <w:lang w:val="es-ES_tradnl"/>
        </w:rPr>
        <w:t xml:space="preserve">de iniciativa social, un 94% de ellos </w:t>
      </w:r>
      <w:r w:rsidR="00030645">
        <w:rPr>
          <w:sz w:val="24"/>
          <w:szCs w:val="24"/>
          <w:lang w:val="es-ES_tradnl"/>
        </w:rPr>
        <w:t>obtienen</w:t>
      </w:r>
      <w:r w:rsidRPr="00CE3A42">
        <w:rPr>
          <w:sz w:val="24"/>
          <w:szCs w:val="24"/>
          <w:lang w:val="es-ES_tradnl"/>
        </w:rPr>
        <w:t xml:space="preserve"> una calificación superior a 50 </w:t>
      </w:r>
      <w:r w:rsidR="00030645">
        <w:rPr>
          <w:sz w:val="24"/>
          <w:szCs w:val="24"/>
          <w:lang w:val="es-ES_tradnl"/>
        </w:rPr>
        <w:t xml:space="preserve">puntos. </w:t>
      </w:r>
    </w:p>
    <w:p w:rsidR="00844BC1" w:rsidRDefault="00856081" w:rsidP="00844BC1">
      <w:pPr>
        <w:pBdr>
          <w:bottom w:val="single" w:sz="4" w:space="1" w:color="auto"/>
        </w:pBdr>
        <w:autoSpaceDE w:val="0"/>
        <w:autoSpaceDN w:val="0"/>
        <w:spacing w:line="360" w:lineRule="auto"/>
        <w:jc w:val="both"/>
        <w:rPr>
          <w:sz w:val="24"/>
          <w:szCs w:val="24"/>
          <w:lang w:val="es-ES_tradnl"/>
        </w:rPr>
      </w:pPr>
      <w:r>
        <w:rPr>
          <w:sz w:val="24"/>
          <w:szCs w:val="24"/>
          <w:lang w:val="es-ES_tradnl"/>
        </w:rPr>
        <w:lastRenderedPageBreak/>
        <w:t>Sobre un máximo de 100 puntos</w:t>
      </w:r>
      <w:r w:rsidRPr="00BE20A7">
        <w:rPr>
          <w:sz w:val="24"/>
          <w:szCs w:val="24"/>
          <w:lang w:val="es-ES_tradnl"/>
        </w:rPr>
        <w:t xml:space="preserve">, la puntuación global media alcanzada por los </w:t>
      </w:r>
      <w:r w:rsidR="00A95742">
        <w:rPr>
          <w:sz w:val="24"/>
          <w:szCs w:val="24"/>
          <w:lang w:val="es-ES_tradnl"/>
        </w:rPr>
        <w:t>CEEs</w:t>
      </w:r>
      <w:r w:rsidRPr="00BE20A7">
        <w:rPr>
          <w:sz w:val="24"/>
          <w:szCs w:val="24"/>
          <w:lang w:val="es-ES_tradnl"/>
        </w:rPr>
        <w:t xml:space="preserve"> es de 60,85.</w:t>
      </w:r>
    </w:p>
    <w:p w:rsidR="00844BC1" w:rsidRDefault="00844BC1" w:rsidP="00844BC1">
      <w:pPr>
        <w:pBdr>
          <w:bottom w:val="single" w:sz="4" w:space="1" w:color="auto"/>
        </w:pBdr>
        <w:autoSpaceDE w:val="0"/>
        <w:autoSpaceDN w:val="0"/>
        <w:spacing w:line="360" w:lineRule="auto"/>
        <w:jc w:val="both"/>
        <w:rPr>
          <w:sz w:val="24"/>
          <w:szCs w:val="24"/>
          <w:lang w:val="es-ES_tradnl"/>
        </w:rPr>
      </w:pPr>
    </w:p>
    <w:p w:rsidR="00844BC1" w:rsidRPr="00BE20A7" w:rsidRDefault="002A54F6" w:rsidP="00844BC1">
      <w:pPr>
        <w:autoSpaceDE w:val="0"/>
        <w:autoSpaceDN w:val="0"/>
        <w:spacing w:line="360" w:lineRule="auto"/>
        <w:jc w:val="both"/>
        <w:rPr>
          <w:sz w:val="20"/>
        </w:rPr>
      </w:pPr>
      <w:r>
        <w:rPr>
          <w:noProof/>
          <w:lang w:eastAsia="es-ES"/>
        </w:rPr>
        <w:drawing>
          <wp:inline distT="0" distB="0" distL="0" distR="0">
            <wp:extent cx="5400675" cy="4785995"/>
            <wp:effectExtent l="0" t="0" r="0" b="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44BC1" w:rsidRPr="00BE20A7">
        <w:rPr>
          <w:sz w:val="20"/>
        </w:rPr>
        <w:t>Fuente: Elaboración propia</w:t>
      </w:r>
    </w:p>
    <w:p w:rsidR="00844BC1" w:rsidRPr="006A67EA" w:rsidRDefault="007751C0" w:rsidP="006A67EA">
      <w:pPr>
        <w:pBdr>
          <w:bottom w:val="single" w:sz="4" w:space="2" w:color="auto"/>
        </w:pBdr>
        <w:autoSpaceDE w:val="0"/>
        <w:autoSpaceDN w:val="0"/>
        <w:spacing w:line="360" w:lineRule="auto"/>
        <w:jc w:val="both"/>
        <w:rPr>
          <w:sz w:val="20"/>
        </w:rPr>
      </w:pPr>
      <w:r>
        <w:rPr>
          <w:sz w:val="20"/>
        </w:rPr>
        <w:t xml:space="preserve">Nota </w:t>
      </w:r>
      <w:r w:rsidR="00844BC1" w:rsidRPr="00BE20A7">
        <w:rPr>
          <w:sz w:val="20"/>
        </w:rPr>
        <w:t xml:space="preserve">explicativa de la gráfica: Eje vertical, resultado de la evaluación según la metodología detallada en el apartado 2. Eje horizontal, áreas en las que se ha evaluado a los </w:t>
      </w:r>
      <w:r w:rsidR="00263316">
        <w:rPr>
          <w:sz w:val="20"/>
        </w:rPr>
        <w:t>CEEs</w:t>
      </w:r>
      <w:r w:rsidR="00844BC1" w:rsidRPr="00BE20A7">
        <w:rPr>
          <w:sz w:val="20"/>
        </w:rPr>
        <w:t xml:space="preserve">, divididas por estructura de la propiedad (iniciativa social, </w:t>
      </w:r>
      <w:r w:rsidR="003D6D08">
        <w:rPr>
          <w:sz w:val="20"/>
        </w:rPr>
        <w:t>iniciativa empresarial</w:t>
      </w:r>
      <w:r w:rsidR="00844BC1" w:rsidRPr="00BE20A7">
        <w:rPr>
          <w:sz w:val="20"/>
        </w:rPr>
        <w:t xml:space="preserve">, todos los </w:t>
      </w:r>
      <w:r w:rsidR="00A95742">
        <w:rPr>
          <w:sz w:val="20"/>
        </w:rPr>
        <w:t>CEEs</w:t>
      </w:r>
      <w:r w:rsidR="00844BC1" w:rsidRPr="00BE20A7">
        <w:rPr>
          <w:sz w:val="20"/>
        </w:rPr>
        <w:t xml:space="preserve"> en conjunto). Aspectos financieros, los </w:t>
      </w:r>
      <w:r w:rsidR="00A95742">
        <w:rPr>
          <w:sz w:val="20"/>
        </w:rPr>
        <w:t>CEEs</w:t>
      </w:r>
      <w:r w:rsidR="00844BC1" w:rsidRPr="00BE20A7">
        <w:rPr>
          <w:sz w:val="20"/>
        </w:rPr>
        <w:t xml:space="preserve"> de iniciativa social obtienen una puntuación media de 68,79 sobre 100; los </w:t>
      </w:r>
      <w:r w:rsidR="00A95742">
        <w:rPr>
          <w:sz w:val="20"/>
        </w:rPr>
        <w:t>CEEs</w:t>
      </w:r>
      <w:r w:rsidR="00844BC1" w:rsidRPr="00BE20A7">
        <w:rPr>
          <w:sz w:val="20"/>
        </w:rPr>
        <w:t xml:space="preserve"> de </w:t>
      </w:r>
      <w:r w:rsidR="003D6D08">
        <w:rPr>
          <w:sz w:val="20"/>
        </w:rPr>
        <w:t>iniciativa empresarial</w:t>
      </w:r>
      <w:r w:rsidR="00844BC1" w:rsidRPr="00BE20A7">
        <w:rPr>
          <w:sz w:val="20"/>
        </w:rPr>
        <w:t xml:space="preserve"> obtienen una puntuación media de 57,49 sobre 100. La puntuación financiera media de todos los </w:t>
      </w:r>
      <w:r w:rsidR="00A95742">
        <w:rPr>
          <w:sz w:val="20"/>
        </w:rPr>
        <w:t>CEEs</w:t>
      </w:r>
      <w:r w:rsidR="00844BC1" w:rsidRPr="00BE20A7">
        <w:rPr>
          <w:sz w:val="20"/>
        </w:rPr>
        <w:t xml:space="preserve"> es de 61,09 sobre 100. Aspectos competitivos, los </w:t>
      </w:r>
      <w:r w:rsidR="00A95742">
        <w:rPr>
          <w:sz w:val="20"/>
        </w:rPr>
        <w:t>CEEs</w:t>
      </w:r>
      <w:r w:rsidR="00844BC1" w:rsidRPr="00BE20A7">
        <w:rPr>
          <w:sz w:val="20"/>
        </w:rPr>
        <w:t xml:space="preserve"> de iniciativa social obtienen una puntuación media de 38,03 sobre 100; los </w:t>
      </w:r>
      <w:r w:rsidR="00A95742">
        <w:rPr>
          <w:sz w:val="20"/>
        </w:rPr>
        <w:t>CEEs</w:t>
      </w:r>
      <w:r w:rsidR="00844BC1" w:rsidRPr="00BE20A7">
        <w:rPr>
          <w:sz w:val="20"/>
        </w:rPr>
        <w:t xml:space="preserve"> de </w:t>
      </w:r>
      <w:r w:rsidR="003D6D08">
        <w:rPr>
          <w:sz w:val="20"/>
        </w:rPr>
        <w:t>iniciativa empresarial</w:t>
      </w:r>
      <w:r w:rsidR="00844BC1" w:rsidRPr="00BE20A7">
        <w:rPr>
          <w:sz w:val="20"/>
        </w:rPr>
        <w:t xml:space="preserve"> obtienen una puntuación media de 39,44 sobre 100. La puntuación competitiva media de todos los </w:t>
      </w:r>
      <w:r w:rsidR="00A95742">
        <w:rPr>
          <w:sz w:val="20"/>
        </w:rPr>
        <w:t>CEEs</w:t>
      </w:r>
      <w:r w:rsidR="00844BC1" w:rsidRPr="00BE20A7">
        <w:rPr>
          <w:sz w:val="20"/>
        </w:rPr>
        <w:t xml:space="preserve"> es de 39 sobre 100. Aspectos de impacto social, los </w:t>
      </w:r>
      <w:r w:rsidR="00A95742">
        <w:rPr>
          <w:sz w:val="20"/>
        </w:rPr>
        <w:t>CEEs</w:t>
      </w:r>
      <w:r w:rsidR="00844BC1" w:rsidRPr="00BE20A7">
        <w:rPr>
          <w:sz w:val="20"/>
        </w:rPr>
        <w:t xml:space="preserve"> de iniciativa social obtienen una puntuación media de 76,78 sobre 100; los </w:t>
      </w:r>
      <w:r w:rsidR="00A95742">
        <w:rPr>
          <w:sz w:val="20"/>
        </w:rPr>
        <w:lastRenderedPageBreak/>
        <w:t>CEEs</w:t>
      </w:r>
      <w:r w:rsidR="00844BC1" w:rsidRPr="00BE20A7">
        <w:rPr>
          <w:sz w:val="20"/>
        </w:rPr>
        <w:t xml:space="preserve"> de </w:t>
      </w:r>
      <w:r w:rsidR="003D6D08">
        <w:rPr>
          <w:sz w:val="20"/>
        </w:rPr>
        <w:t>iniciativa empresarial</w:t>
      </w:r>
      <w:r w:rsidR="00844BC1" w:rsidRPr="00BE20A7">
        <w:rPr>
          <w:sz w:val="20"/>
        </w:rPr>
        <w:t xml:space="preserve"> obtienen una puntuación media de 60,64 sobre 100. La puntuación de impacto social media de todos los </w:t>
      </w:r>
      <w:r w:rsidR="00A95742">
        <w:rPr>
          <w:sz w:val="20"/>
        </w:rPr>
        <w:t>CEEs</w:t>
      </w:r>
      <w:r w:rsidR="006A67EA">
        <w:rPr>
          <w:sz w:val="20"/>
        </w:rPr>
        <w:t xml:space="preserve"> es de 65,78 sobre 100.</w:t>
      </w:r>
    </w:p>
    <w:p w:rsidR="003959C3" w:rsidRDefault="00730902" w:rsidP="00844BC1">
      <w:pPr>
        <w:spacing w:line="360" w:lineRule="auto"/>
        <w:jc w:val="both"/>
        <w:rPr>
          <w:sz w:val="18"/>
          <w:szCs w:val="18"/>
          <w:lang w:val="es-ES_tradnl"/>
        </w:rPr>
      </w:pPr>
      <w:r>
        <w:rPr>
          <w:sz w:val="18"/>
          <w:szCs w:val="18"/>
          <w:lang w:val="es-ES_tradnl"/>
        </w:rPr>
        <w:t>Datos de 2011-2013</w:t>
      </w:r>
    </w:p>
    <w:p w:rsidR="00730902" w:rsidRDefault="00730902" w:rsidP="00844BC1">
      <w:pPr>
        <w:spacing w:line="360" w:lineRule="auto"/>
        <w:jc w:val="both"/>
        <w:rPr>
          <w:sz w:val="18"/>
          <w:szCs w:val="18"/>
          <w:lang w:val="es-ES_tradnl"/>
        </w:rPr>
      </w:pPr>
    </w:p>
    <w:p w:rsidR="003959C3" w:rsidRPr="003959C3" w:rsidRDefault="003959C3" w:rsidP="00844BC1">
      <w:pPr>
        <w:spacing w:line="360" w:lineRule="auto"/>
        <w:jc w:val="both"/>
        <w:rPr>
          <w:sz w:val="24"/>
          <w:szCs w:val="24"/>
          <w:lang w:val="es-ES_tradnl"/>
        </w:rPr>
      </w:pPr>
      <w:r w:rsidRPr="003959C3">
        <w:rPr>
          <w:sz w:val="24"/>
          <w:szCs w:val="24"/>
          <w:lang w:val="es-ES_tradnl"/>
        </w:rPr>
        <w:t>Al ana</w:t>
      </w:r>
      <w:r w:rsidR="00BF6851">
        <w:rPr>
          <w:sz w:val="24"/>
          <w:szCs w:val="24"/>
          <w:lang w:val="es-ES_tradnl"/>
        </w:rPr>
        <w:t xml:space="preserve">lizar </w:t>
      </w:r>
      <w:r w:rsidR="00446110">
        <w:rPr>
          <w:sz w:val="24"/>
          <w:szCs w:val="24"/>
          <w:lang w:val="es-ES_tradnl"/>
        </w:rPr>
        <w:t>las calific</w:t>
      </w:r>
      <w:r w:rsidRPr="003959C3">
        <w:rPr>
          <w:sz w:val="24"/>
          <w:szCs w:val="24"/>
          <w:lang w:val="es-ES_tradnl"/>
        </w:rPr>
        <w:t>aciones globales</w:t>
      </w:r>
      <w:r w:rsidR="00BF6851">
        <w:rPr>
          <w:sz w:val="24"/>
          <w:szCs w:val="24"/>
          <w:lang w:val="es-ES_tradnl"/>
        </w:rPr>
        <w:t xml:space="preserve"> con más detalle</w:t>
      </w:r>
      <w:r w:rsidRPr="003959C3">
        <w:rPr>
          <w:sz w:val="24"/>
          <w:szCs w:val="24"/>
          <w:lang w:val="es-ES_tradnl"/>
        </w:rPr>
        <w:t>, se observa una distribución normal de las mismas:</w:t>
      </w:r>
    </w:p>
    <w:p w:rsidR="003959C3" w:rsidRDefault="003959C3" w:rsidP="00844BC1">
      <w:pPr>
        <w:spacing w:line="360" w:lineRule="auto"/>
        <w:jc w:val="both"/>
        <w:rPr>
          <w:sz w:val="18"/>
          <w:szCs w:val="18"/>
          <w:lang w:val="es-ES_tradnl"/>
        </w:rPr>
      </w:pPr>
    </w:p>
    <w:p w:rsidR="006A67EA" w:rsidRDefault="006A67EA" w:rsidP="006A67EA">
      <w:pPr>
        <w:spacing w:line="360" w:lineRule="auto"/>
        <w:jc w:val="center"/>
        <w:rPr>
          <w:sz w:val="18"/>
          <w:szCs w:val="18"/>
          <w:lang w:val="es-ES_tradnl"/>
        </w:rPr>
      </w:pPr>
      <w:r>
        <w:rPr>
          <w:noProof/>
          <w:lang w:eastAsia="es-ES"/>
        </w:rPr>
        <w:drawing>
          <wp:inline distT="0" distB="0" distL="0" distR="0">
            <wp:extent cx="4445000" cy="2794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67EA" w:rsidRPr="00BE20A7" w:rsidRDefault="006A67EA" w:rsidP="006A67EA">
      <w:pPr>
        <w:autoSpaceDE w:val="0"/>
        <w:autoSpaceDN w:val="0"/>
        <w:spacing w:line="360" w:lineRule="auto"/>
        <w:jc w:val="both"/>
        <w:rPr>
          <w:sz w:val="20"/>
        </w:rPr>
      </w:pPr>
      <w:r w:rsidRPr="00BE20A7">
        <w:rPr>
          <w:sz w:val="20"/>
        </w:rPr>
        <w:t>Fuente: Elaboración propia</w:t>
      </w:r>
    </w:p>
    <w:p w:rsidR="00E91424" w:rsidRDefault="006A67EA" w:rsidP="00730902">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 que obtienen una determinada calificación</w:t>
      </w:r>
      <w:r w:rsidRPr="00BE20A7">
        <w:rPr>
          <w:sz w:val="20"/>
        </w:rPr>
        <w:t xml:space="preserve">. Eje horizontal, </w:t>
      </w:r>
      <w:r w:rsidR="00E91424">
        <w:rPr>
          <w:sz w:val="20"/>
        </w:rPr>
        <w:t xml:space="preserve">rangos de calificaciones: </w:t>
      </w:r>
      <w:r w:rsidR="00E91424">
        <w:rPr>
          <w:rFonts w:ascii="MinionPro-Regular" w:hAnsi="MinionPro-Regular"/>
          <w:sz w:val="20"/>
          <w:lang w:val="es-ES_tradnl"/>
        </w:rPr>
        <w:t>centros que obtienen una calificación global entre de 30 y 40 puntos (7), centros que obtienen una calificación global entre de 40 y 50 puntos (27),centros que obtienen una calificación global entre de 50 y 60 puntos (37),centros que obtienen una calificación global entre de 60 y 70 puntos (38),centros que obtienen una calificación global entre de 70 y 80 puntos (25), y centros que obtienen una calificación global entre de 80 y 90 puntos (11).</w:t>
      </w:r>
    </w:p>
    <w:p w:rsidR="00730902" w:rsidRDefault="00730902" w:rsidP="00730902">
      <w:pPr>
        <w:spacing w:line="360" w:lineRule="auto"/>
        <w:jc w:val="both"/>
        <w:rPr>
          <w:sz w:val="20"/>
        </w:rPr>
      </w:pPr>
      <w:r>
        <w:rPr>
          <w:sz w:val="20"/>
        </w:rPr>
        <w:t>Datos de 2011-2013</w:t>
      </w:r>
    </w:p>
    <w:p w:rsidR="006A67EA" w:rsidRPr="00842404" w:rsidRDefault="006A67EA" w:rsidP="006A67EA">
      <w:pPr>
        <w:spacing w:line="360" w:lineRule="auto"/>
        <w:jc w:val="both"/>
        <w:rPr>
          <w:sz w:val="18"/>
          <w:szCs w:val="18"/>
          <w:lang w:val="es-ES_tradnl"/>
        </w:rPr>
      </w:pPr>
    </w:p>
    <w:p w:rsidR="00844BC1" w:rsidRDefault="00844BC1" w:rsidP="00844BC1">
      <w:pPr>
        <w:spacing w:line="360" w:lineRule="auto"/>
        <w:jc w:val="both"/>
        <w:rPr>
          <w:sz w:val="24"/>
          <w:szCs w:val="24"/>
          <w:lang w:val="es-ES_tradnl"/>
        </w:rPr>
      </w:pPr>
      <w:r>
        <w:rPr>
          <w:sz w:val="24"/>
          <w:szCs w:val="24"/>
          <w:lang w:val="es-ES_tradnl"/>
        </w:rPr>
        <w:t>Los</w:t>
      </w:r>
      <w:r w:rsidRPr="00BE20A7">
        <w:rPr>
          <w:sz w:val="24"/>
          <w:szCs w:val="24"/>
          <w:lang w:val="es-ES_tradnl"/>
        </w:rPr>
        <w:t xml:space="preserve"> </w:t>
      </w:r>
      <w:r w:rsidR="00263316">
        <w:rPr>
          <w:sz w:val="24"/>
          <w:szCs w:val="24"/>
          <w:lang w:val="es-ES_tradnl"/>
        </w:rPr>
        <w:t>CEEs</w:t>
      </w:r>
      <w:r w:rsidRPr="00BE20A7">
        <w:rPr>
          <w:sz w:val="24"/>
          <w:szCs w:val="24"/>
          <w:lang w:val="es-ES_tradnl"/>
        </w:rPr>
        <w:t xml:space="preserve"> muestran un desempeño </w:t>
      </w:r>
      <w:r>
        <w:rPr>
          <w:sz w:val="24"/>
          <w:szCs w:val="24"/>
          <w:lang w:val="es-ES_tradnl"/>
        </w:rPr>
        <w:t xml:space="preserve">satisfactorio </w:t>
      </w:r>
      <w:r w:rsidRPr="00BE20A7">
        <w:rPr>
          <w:sz w:val="24"/>
          <w:szCs w:val="24"/>
          <w:lang w:val="es-ES_tradnl"/>
        </w:rPr>
        <w:t>en las tres dimensiones en las que han sido analizados</w:t>
      </w:r>
      <w:r>
        <w:rPr>
          <w:sz w:val="24"/>
          <w:szCs w:val="24"/>
          <w:lang w:val="es-ES_tradnl"/>
        </w:rPr>
        <w:t xml:space="preserve">. Destacan, </w:t>
      </w:r>
      <w:r w:rsidRPr="00BE20A7">
        <w:rPr>
          <w:sz w:val="24"/>
          <w:szCs w:val="24"/>
          <w:lang w:val="es-ES_tradnl"/>
        </w:rPr>
        <w:t>sobre todo</w:t>
      </w:r>
      <w:r>
        <w:rPr>
          <w:sz w:val="24"/>
          <w:szCs w:val="24"/>
          <w:lang w:val="es-ES_tradnl"/>
        </w:rPr>
        <w:t>,</w:t>
      </w:r>
      <w:r w:rsidRPr="00BE20A7">
        <w:rPr>
          <w:sz w:val="24"/>
          <w:szCs w:val="24"/>
          <w:lang w:val="es-ES_tradnl"/>
        </w:rPr>
        <w:t xml:space="preserve"> en lo que se refiere al impacto social, </w:t>
      </w:r>
      <w:r>
        <w:rPr>
          <w:sz w:val="24"/>
          <w:szCs w:val="24"/>
          <w:lang w:val="es-ES_tradnl"/>
        </w:rPr>
        <w:t>con</w:t>
      </w:r>
      <w:r w:rsidRPr="00BE20A7">
        <w:rPr>
          <w:sz w:val="24"/>
          <w:szCs w:val="24"/>
          <w:lang w:val="es-ES_tradnl"/>
        </w:rPr>
        <w:t xml:space="preserve"> una </w:t>
      </w:r>
      <w:r w:rsidR="00BC455A">
        <w:rPr>
          <w:sz w:val="24"/>
          <w:szCs w:val="24"/>
          <w:lang w:val="es-ES_tradnl"/>
        </w:rPr>
        <w:t>evaluación</w:t>
      </w:r>
      <w:r w:rsidRPr="00BE20A7">
        <w:rPr>
          <w:sz w:val="24"/>
          <w:szCs w:val="24"/>
          <w:lang w:val="es-ES_tradnl"/>
        </w:rPr>
        <w:t xml:space="preserve"> media de 65,78. </w:t>
      </w:r>
      <w:r w:rsidR="00BC455A">
        <w:rPr>
          <w:sz w:val="24"/>
          <w:szCs w:val="24"/>
          <w:lang w:val="es-ES_tradnl"/>
        </w:rPr>
        <w:t>Estas calificaciones</w:t>
      </w:r>
      <w:r w:rsidRPr="00BE20A7">
        <w:rPr>
          <w:sz w:val="24"/>
          <w:szCs w:val="24"/>
          <w:lang w:val="es-ES_tradnl"/>
        </w:rPr>
        <w:t xml:space="preserve"> reflejan la importante labor social que llevan a cabo y </w:t>
      </w:r>
      <w:r>
        <w:rPr>
          <w:sz w:val="24"/>
          <w:szCs w:val="24"/>
          <w:lang w:val="es-ES_tradnl"/>
        </w:rPr>
        <w:t>el impacto que</w:t>
      </w:r>
      <w:r w:rsidRPr="00BE20A7">
        <w:rPr>
          <w:sz w:val="24"/>
          <w:szCs w:val="24"/>
          <w:lang w:val="es-ES_tradnl"/>
        </w:rPr>
        <w:t xml:space="preserve"> consiguen en lo relacionado </w:t>
      </w:r>
      <w:r>
        <w:rPr>
          <w:sz w:val="24"/>
          <w:szCs w:val="24"/>
          <w:lang w:val="es-ES_tradnl"/>
        </w:rPr>
        <w:t>con el empleo</w:t>
      </w:r>
      <w:r w:rsidRPr="00BE20A7">
        <w:rPr>
          <w:sz w:val="24"/>
          <w:szCs w:val="24"/>
          <w:lang w:val="es-ES_tradnl"/>
        </w:rPr>
        <w:t xml:space="preserve"> de las personas con discapacidad.</w:t>
      </w:r>
    </w:p>
    <w:p w:rsidR="007C7FDF" w:rsidRPr="00BE20A7" w:rsidRDefault="007C7FDF" w:rsidP="00844BC1">
      <w:pPr>
        <w:spacing w:line="360" w:lineRule="auto"/>
        <w:jc w:val="both"/>
        <w:rPr>
          <w:sz w:val="24"/>
          <w:szCs w:val="24"/>
          <w:lang w:val="es-ES_tradnl"/>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360"/>
        <w:gridCol w:w="4360"/>
      </w:tblGrid>
      <w:tr w:rsidR="00844BC1" w:rsidRPr="00194813" w:rsidTr="0045063C">
        <w:tc>
          <w:tcPr>
            <w:tcW w:w="4360" w:type="dxa"/>
          </w:tcPr>
          <w:p w:rsidR="00844BC1" w:rsidRPr="00844BC1" w:rsidRDefault="00844BC1" w:rsidP="00844BC1">
            <w:pPr>
              <w:keepNext/>
              <w:keepLines/>
              <w:spacing w:before="200" w:line="360" w:lineRule="auto"/>
              <w:jc w:val="both"/>
              <w:outlineLvl w:val="3"/>
              <w:rPr>
                <w:rFonts w:eastAsia="Calibri"/>
                <w:b/>
                <w:sz w:val="20"/>
                <w:lang w:val="es-ES_tradnl"/>
              </w:rPr>
            </w:pPr>
            <w:r w:rsidRPr="00844BC1">
              <w:rPr>
                <w:b/>
                <w:sz w:val="20"/>
                <w:lang w:val="es-ES_tradnl"/>
              </w:rPr>
              <w:t>Fortalezas</w:t>
            </w:r>
          </w:p>
          <w:p w:rsidR="00844BC1" w:rsidRPr="00844BC1" w:rsidRDefault="00052055" w:rsidP="00920790">
            <w:pPr>
              <w:pStyle w:val="Prrafodelista"/>
              <w:numPr>
                <w:ilvl w:val="0"/>
                <w:numId w:val="32"/>
              </w:numPr>
              <w:spacing w:line="360" w:lineRule="auto"/>
              <w:jc w:val="both"/>
              <w:rPr>
                <w:rFonts w:eastAsia="Calibri"/>
                <w:sz w:val="20"/>
                <w:lang w:val="es-ES_tradnl"/>
              </w:rPr>
            </w:pPr>
            <w:r>
              <w:rPr>
                <w:sz w:val="20"/>
                <w:lang w:val="es-ES_tradnl"/>
              </w:rPr>
              <w:t xml:space="preserve">Los </w:t>
            </w:r>
            <w:r w:rsidR="00263316">
              <w:rPr>
                <w:sz w:val="20"/>
                <w:lang w:val="es-ES_tradnl"/>
              </w:rPr>
              <w:t>CEEs</w:t>
            </w:r>
            <w:r w:rsidR="00920790">
              <w:rPr>
                <w:sz w:val="20"/>
                <w:lang w:val="es-ES_tradnl"/>
              </w:rPr>
              <w:t xml:space="preserve"> </w:t>
            </w:r>
            <w:r>
              <w:rPr>
                <w:sz w:val="20"/>
                <w:lang w:val="es-ES_tradnl"/>
              </w:rPr>
              <w:t>destacan en la generación de impacto social en el colectivo de las personas con discapacidad</w:t>
            </w:r>
            <w:r w:rsidR="00920790">
              <w:rPr>
                <w:sz w:val="20"/>
                <w:lang w:val="es-ES_tradnl"/>
              </w:rPr>
              <w:t>.</w:t>
            </w:r>
            <w:r w:rsidR="00EA49B8">
              <w:rPr>
                <w:sz w:val="20"/>
                <w:lang w:val="es-ES_tradnl"/>
              </w:rPr>
              <w:t xml:space="preserve"> Son motor de integración</w:t>
            </w:r>
            <w:r w:rsidR="00BC455A">
              <w:rPr>
                <w:sz w:val="20"/>
                <w:lang w:val="es-ES_tradnl"/>
              </w:rPr>
              <w:t>.</w:t>
            </w:r>
          </w:p>
        </w:tc>
        <w:tc>
          <w:tcPr>
            <w:tcW w:w="4360" w:type="dxa"/>
          </w:tcPr>
          <w:p w:rsidR="00844BC1" w:rsidRPr="00844BC1" w:rsidRDefault="00844BC1" w:rsidP="00844BC1">
            <w:pPr>
              <w:keepNext/>
              <w:keepLines/>
              <w:spacing w:before="200" w:line="360" w:lineRule="auto"/>
              <w:jc w:val="both"/>
              <w:outlineLvl w:val="3"/>
              <w:rPr>
                <w:rFonts w:eastAsia="Calibri"/>
                <w:b/>
                <w:sz w:val="20"/>
                <w:lang w:val="es-ES_tradnl"/>
              </w:rPr>
            </w:pPr>
            <w:r w:rsidRPr="00844BC1">
              <w:rPr>
                <w:b/>
                <w:sz w:val="20"/>
                <w:lang w:val="es-ES_tradnl"/>
              </w:rPr>
              <w:t>Debilidades</w:t>
            </w:r>
          </w:p>
          <w:p w:rsidR="00844BC1" w:rsidRPr="00844BC1" w:rsidRDefault="0045063C" w:rsidP="00BC455A">
            <w:pPr>
              <w:pStyle w:val="Prrafodelista"/>
              <w:numPr>
                <w:ilvl w:val="0"/>
                <w:numId w:val="33"/>
              </w:numPr>
              <w:spacing w:line="360" w:lineRule="auto"/>
              <w:jc w:val="both"/>
              <w:rPr>
                <w:rFonts w:eastAsia="Calibri"/>
                <w:sz w:val="20"/>
                <w:lang w:val="es-ES_tradnl"/>
              </w:rPr>
            </w:pPr>
            <w:r>
              <w:rPr>
                <w:sz w:val="20"/>
                <w:lang w:val="es-ES_tradnl"/>
              </w:rPr>
              <w:t xml:space="preserve">El </w:t>
            </w:r>
            <w:r w:rsidR="00052055">
              <w:rPr>
                <w:sz w:val="20"/>
                <w:lang w:val="es-ES_tradnl"/>
              </w:rPr>
              <w:t xml:space="preserve">sector de actividad </w:t>
            </w:r>
            <w:r w:rsidR="00920790">
              <w:rPr>
                <w:sz w:val="20"/>
                <w:lang w:val="es-ES_tradnl"/>
              </w:rPr>
              <w:t xml:space="preserve">de los </w:t>
            </w:r>
            <w:r w:rsidR="00A95742">
              <w:rPr>
                <w:sz w:val="20"/>
                <w:lang w:val="es-ES_tradnl"/>
              </w:rPr>
              <w:t>CEEs</w:t>
            </w:r>
            <w:r w:rsidR="00920790">
              <w:rPr>
                <w:sz w:val="20"/>
                <w:lang w:val="es-ES_tradnl"/>
              </w:rPr>
              <w:t xml:space="preserve"> </w:t>
            </w:r>
            <w:r w:rsidR="00052055">
              <w:rPr>
                <w:sz w:val="20"/>
                <w:lang w:val="es-ES_tradnl"/>
              </w:rPr>
              <w:t xml:space="preserve">no siempre </w:t>
            </w:r>
            <w:r>
              <w:rPr>
                <w:sz w:val="20"/>
                <w:lang w:val="es-ES_tradnl"/>
              </w:rPr>
              <w:t>es el mejor</w:t>
            </w:r>
            <w:r w:rsidR="00052055">
              <w:rPr>
                <w:sz w:val="20"/>
                <w:lang w:val="es-ES_tradnl"/>
              </w:rPr>
              <w:t xml:space="preserve"> para maximizar las oportunidades de empleo</w:t>
            </w:r>
            <w:r w:rsidR="00920790">
              <w:rPr>
                <w:sz w:val="20"/>
                <w:lang w:val="es-ES_tradnl"/>
              </w:rPr>
              <w:t>.</w:t>
            </w:r>
          </w:p>
        </w:tc>
      </w:tr>
    </w:tbl>
    <w:p w:rsidR="00844BC1" w:rsidRDefault="00844BC1" w:rsidP="00844BC1">
      <w:pPr>
        <w:autoSpaceDE w:val="0"/>
        <w:autoSpaceDN w:val="0"/>
        <w:spacing w:line="360" w:lineRule="auto"/>
        <w:jc w:val="both"/>
        <w:rPr>
          <w:sz w:val="24"/>
          <w:szCs w:val="24"/>
        </w:rPr>
      </w:pPr>
    </w:p>
    <w:p w:rsidR="00A80E1D" w:rsidRDefault="00A80E1D" w:rsidP="00A80E1D">
      <w:pPr>
        <w:pStyle w:val="Ttulo2"/>
        <w:rPr>
          <w:lang w:val="es-ES_tradnl"/>
        </w:rPr>
      </w:pPr>
      <w:bookmarkStart w:id="226" w:name="_Toc410916871"/>
      <w:r>
        <w:rPr>
          <w:lang w:val="es-ES_tradnl"/>
        </w:rPr>
        <w:t xml:space="preserve">Clústers de </w:t>
      </w:r>
      <w:r w:rsidR="00A95742">
        <w:rPr>
          <w:lang w:val="es-ES_tradnl"/>
        </w:rPr>
        <w:t>Centros Especiales de Empleo</w:t>
      </w:r>
      <w:r>
        <w:rPr>
          <w:lang w:val="es-ES_tradnl"/>
        </w:rPr>
        <w:t xml:space="preserve"> en función de su evaluación económica y social</w:t>
      </w:r>
      <w:bookmarkEnd w:id="226"/>
    </w:p>
    <w:p w:rsidR="008078F4" w:rsidRPr="008078F4" w:rsidRDefault="008078F4" w:rsidP="008078F4">
      <w:pPr>
        <w:pStyle w:val="Textoindependiente"/>
        <w:rPr>
          <w:lang w:val="es-ES_tradnl"/>
        </w:rPr>
      </w:pPr>
    </w:p>
    <w:p w:rsidR="00A80E1D" w:rsidRDefault="00AC67C0" w:rsidP="00A80E1D">
      <w:pPr>
        <w:pStyle w:val="Prrafodelista"/>
        <w:spacing w:line="360" w:lineRule="auto"/>
        <w:ind w:left="0"/>
        <w:jc w:val="both"/>
        <w:rPr>
          <w:sz w:val="24"/>
          <w:szCs w:val="24"/>
          <w:lang w:val="es-ES_tradnl"/>
        </w:rPr>
      </w:pPr>
      <w:r>
        <w:rPr>
          <w:noProof/>
          <w:sz w:val="24"/>
          <w:szCs w:val="24"/>
          <w:lang w:eastAsia="es-ES"/>
        </w:rPr>
      </w:r>
      <w:r w:rsidRPr="00AC67C0">
        <w:rPr>
          <w:noProof/>
          <w:sz w:val="24"/>
          <w:szCs w:val="24"/>
          <w:lang w:eastAsia="es-ES"/>
        </w:rPr>
        <w:pict>
          <v:shape id="Text Box 246" o:spid="_x0000_s1049" type="#_x0000_t202" style="width:425.2pt;height:7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" fillcolor="white [3201]" strokeweight=".5pt">
            <v:textbox>
              <w:txbxContent>
                <w:p w:rsidR="003C4DD0" w:rsidRPr="008078F4" w:rsidRDefault="003C4DD0" w:rsidP="008078F4">
                  <w:pPr>
                    <w:spacing w:line="360" w:lineRule="auto"/>
                    <w:rPr>
                      <w:b/>
                    </w:rPr>
                  </w:pPr>
                  <w:r w:rsidRPr="008078F4">
                    <w:rPr>
                      <w:b/>
                      <w:sz w:val="24"/>
                      <w:szCs w:val="24"/>
                      <w:lang w:val="es-ES_tradnl"/>
                    </w:rPr>
                    <w:t xml:space="preserve">La gran mayoría de las personas con discapacidad empleadas en </w:t>
                  </w:r>
                  <w:r>
                    <w:rPr>
                      <w:b/>
                      <w:sz w:val="24"/>
                      <w:szCs w:val="24"/>
                      <w:lang w:val="es-ES_tradnl"/>
                    </w:rPr>
                    <w:t>CEEs</w:t>
                  </w:r>
                  <w:r w:rsidRPr="008078F4">
                    <w:rPr>
                      <w:b/>
                      <w:sz w:val="24"/>
                      <w:szCs w:val="24"/>
                      <w:lang w:val="es-ES_tradnl"/>
                    </w:rPr>
                    <w:t xml:space="preserve"> de Castilla y León trabajan en </w:t>
                  </w:r>
                  <w:r>
                    <w:rPr>
                      <w:b/>
                      <w:sz w:val="24"/>
                      <w:szCs w:val="24"/>
                      <w:lang w:val="es-ES_tradnl"/>
                    </w:rPr>
                    <w:t>Centros Especiales de Empleo</w:t>
                  </w:r>
                  <w:r w:rsidRPr="008078F4">
                    <w:rPr>
                      <w:b/>
                      <w:sz w:val="24"/>
                      <w:szCs w:val="24"/>
                      <w:lang w:val="es-ES_tradnl"/>
                    </w:rPr>
                    <w:t xml:space="preserve"> robustos financieramente y de elevado impacto social.</w:t>
                  </w:r>
                </w:p>
              </w:txbxContent>
            </v:textbox>
            <w10:wrap type="none"/>
            <w10:anchorlock/>
          </v:shape>
        </w:pict>
      </w:r>
    </w:p>
    <w:p w:rsidR="008078F4" w:rsidRDefault="008078F4" w:rsidP="005217FE">
      <w:pPr>
        <w:pStyle w:val="Prrafodelista"/>
        <w:pBdr>
          <w:bottom w:val="single" w:sz="4" w:space="1" w:color="auto"/>
        </w:pBdr>
        <w:spacing w:line="360" w:lineRule="auto"/>
        <w:ind w:left="0"/>
        <w:jc w:val="both"/>
        <w:rPr>
          <w:sz w:val="24"/>
          <w:szCs w:val="24"/>
          <w:lang w:val="es-ES_tradnl"/>
        </w:rPr>
      </w:pPr>
    </w:p>
    <w:p w:rsidR="00A80E1D" w:rsidRDefault="00A80E1D" w:rsidP="005217FE">
      <w:pPr>
        <w:pStyle w:val="Prrafodelista"/>
        <w:pBdr>
          <w:bottom w:val="single" w:sz="4" w:space="1" w:color="auto"/>
        </w:pBdr>
        <w:spacing w:line="360" w:lineRule="auto"/>
        <w:ind w:left="0"/>
        <w:jc w:val="both"/>
        <w:rPr>
          <w:sz w:val="24"/>
          <w:szCs w:val="24"/>
          <w:lang w:val="es-ES_tradnl"/>
        </w:rPr>
      </w:pPr>
      <w:r w:rsidRPr="00BE20A7">
        <w:rPr>
          <w:sz w:val="24"/>
          <w:szCs w:val="24"/>
          <w:lang w:val="es-ES_tradnl"/>
        </w:rPr>
        <w:t>Con el objetivo de identifica</w:t>
      </w:r>
      <w:r>
        <w:rPr>
          <w:sz w:val="24"/>
          <w:szCs w:val="24"/>
          <w:lang w:val="es-ES_tradnl"/>
        </w:rPr>
        <w:t xml:space="preserve">r a los </w:t>
      </w:r>
      <w:r w:rsidR="00A95742">
        <w:rPr>
          <w:sz w:val="24"/>
          <w:szCs w:val="24"/>
          <w:lang w:val="es-ES_tradnl"/>
        </w:rPr>
        <w:t>CEEs</w:t>
      </w:r>
      <w:r>
        <w:rPr>
          <w:sz w:val="24"/>
          <w:szCs w:val="24"/>
          <w:lang w:val="es-ES_tradnl"/>
        </w:rPr>
        <w:t xml:space="preserve"> con mejor</w:t>
      </w:r>
      <w:r w:rsidRPr="00BE20A7">
        <w:rPr>
          <w:sz w:val="24"/>
          <w:szCs w:val="24"/>
          <w:lang w:val="es-ES_tradnl"/>
        </w:rPr>
        <w:t xml:space="preserve"> rendimiento</w:t>
      </w:r>
      <w:r w:rsidR="006008DB">
        <w:rPr>
          <w:sz w:val="24"/>
          <w:szCs w:val="24"/>
          <w:lang w:val="es-ES_tradnl"/>
        </w:rPr>
        <w:t>,</w:t>
      </w:r>
      <w:r w:rsidRPr="00BE20A7">
        <w:rPr>
          <w:sz w:val="24"/>
          <w:szCs w:val="24"/>
          <w:lang w:val="es-ES_tradnl"/>
        </w:rPr>
        <w:t xml:space="preserve"> tanto en materia social como financiera, se han colocado </w:t>
      </w:r>
      <w:r w:rsidR="00413BB0">
        <w:rPr>
          <w:sz w:val="24"/>
          <w:szCs w:val="24"/>
          <w:lang w:val="es-ES_tradnl"/>
        </w:rPr>
        <w:t>a todas las entidades</w:t>
      </w:r>
      <w:r w:rsidRPr="00BE20A7">
        <w:rPr>
          <w:sz w:val="24"/>
          <w:szCs w:val="24"/>
          <w:lang w:val="es-ES_tradnl"/>
        </w:rPr>
        <w:t xml:space="preserve"> en un cuadro según su </w:t>
      </w:r>
      <w:r>
        <w:rPr>
          <w:sz w:val="24"/>
          <w:szCs w:val="24"/>
          <w:lang w:val="es-ES_tradnl"/>
        </w:rPr>
        <w:t xml:space="preserve">evaluación económica (que incluye la evaluación financiera y de la posición competitiva) </w:t>
      </w:r>
      <w:r w:rsidRPr="00BE20A7">
        <w:rPr>
          <w:sz w:val="24"/>
          <w:szCs w:val="24"/>
          <w:lang w:val="es-ES_tradnl"/>
        </w:rPr>
        <w:t xml:space="preserve">y su </w:t>
      </w:r>
      <w:r>
        <w:rPr>
          <w:sz w:val="24"/>
          <w:szCs w:val="24"/>
          <w:lang w:val="es-ES_tradnl"/>
        </w:rPr>
        <w:t>evaluación social</w:t>
      </w:r>
      <w:r w:rsidRPr="00BE20A7">
        <w:rPr>
          <w:sz w:val="24"/>
          <w:szCs w:val="24"/>
          <w:lang w:val="es-ES_tradnl"/>
        </w:rPr>
        <w:t xml:space="preserve">. Los </w:t>
      </w:r>
      <w:r w:rsidR="00BC455A">
        <w:rPr>
          <w:sz w:val="24"/>
          <w:szCs w:val="24"/>
          <w:lang w:val="es-ES_tradnl"/>
        </w:rPr>
        <w:t>centros</w:t>
      </w:r>
      <w:r w:rsidRPr="00BE20A7">
        <w:rPr>
          <w:sz w:val="24"/>
          <w:szCs w:val="24"/>
          <w:lang w:val="es-ES_tradnl"/>
        </w:rPr>
        <w:t xml:space="preserve"> con ambas puntuaciones superiores a 70 sobre 100 constituyen el grupo de </w:t>
      </w:r>
      <w:r w:rsidR="00413BB0">
        <w:rPr>
          <w:sz w:val="24"/>
          <w:szCs w:val="24"/>
          <w:lang w:val="es-ES_tradnl"/>
        </w:rPr>
        <w:t>entidades</w:t>
      </w:r>
      <w:r w:rsidRPr="00BE20A7">
        <w:rPr>
          <w:sz w:val="24"/>
          <w:szCs w:val="24"/>
          <w:lang w:val="es-ES_tradnl"/>
        </w:rPr>
        <w:t xml:space="preserve"> </w:t>
      </w:r>
      <w:r>
        <w:rPr>
          <w:sz w:val="24"/>
          <w:szCs w:val="24"/>
          <w:lang w:val="es-ES_tradnl"/>
        </w:rPr>
        <w:t>sobresaliente</w:t>
      </w:r>
      <w:r w:rsidRPr="00BE20A7">
        <w:rPr>
          <w:sz w:val="24"/>
          <w:szCs w:val="24"/>
          <w:lang w:val="es-ES_tradnl"/>
        </w:rPr>
        <w:t xml:space="preserve">. </w:t>
      </w:r>
      <w:r w:rsidR="00BC455A">
        <w:rPr>
          <w:sz w:val="24"/>
          <w:szCs w:val="24"/>
          <w:lang w:val="es-ES_tradnl"/>
        </w:rPr>
        <w:t>Aquellos</w:t>
      </w:r>
      <w:r w:rsidRPr="00BE20A7">
        <w:rPr>
          <w:sz w:val="24"/>
          <w:szCs w:val="24"/>
          <w:lang w:val="es-ES_tradnl"/>
        </w:rPr>
        <w:t xml:space="preserve"> con ambas puntuaciones entre 50 y 70 puntos constituyen el grupo de l</w:t>
      </w:r>
      <w:r w:rsidR="00413BB0">
        <w:rPr>
          <w:sz w:val="24"/>
          <w:szCs w:val="24"/>
          <w:lang w:val="es-ES_tradnl"/>
        </w:rPr>
        <w:t>a</w:t>
      </w:r>
      <w:r w:rsidRPr="00BE20A7">
        <w:rPr>
          <w:sz w:val="24"/>
          <w:szCs w:val="24"/>
          <w:lang w:val="es-ES_tradnl"/>
        </w:rPr>
        <w:t xml:space="preserve">s </w:t>
      </w:r>
      <w:r w:rsidR="00413BB0">
        <w:rPr>
          <w:sz w:val="24"/>
          <w:szCs w:val="24"/>
          <w:lang w:val="es-ES_tradnl"/>
        </w:rPr>
        <w:t>entidades</w:t>
      </w:r>
      <w:r w:rsidRPr="00BE20A7">
        <w:rPr>
          <w:sz w:val="24"/>
          <w:szCs w:val="24"/>
          <w:lang w:val="es-ES_tradnl"/>
        </w:rPr>
        <w:t xml:space="preserve"> de rendimiento </w:t>
      </w:r>
      <w:r w:rsidR="00BC455A">
        <w:rPr>
          <w:sz w:val="24"/>
          <w:szCs w:val="24"/>
          <w:lang w:val="es-ES_tradnl"/>
        </w:rPr>
        <w:t>notab</w:t>
      </w:r>
      <w:r w:rsidR="007C7FDF">
        <w:rPr>
          <w:sz w:val="24"/>
          <w:szCs w:val="24"/>
          <w:lang w:val="es-ES_tradnl"/>
        </w:rPr>
        <w:t>le</w:t>
      </w:r>
      <w:r w:rsidRPr="00BE20A7">
        <w:rPr>
          <w:sz w:val="24"/>
          <w:szCs w:val="24"/>
          <w:lang w:val="es-ES_tradnl"/>
        </w:rPr>
        <w:t xml:space="preserve">. Los </w:t>
      </w:r>
      <w:r w:rsidR="00A95742">
        <w:rPr>
          <w:sz w:val="24"/>
          <w:szCs w:val="24"/>
          <w:lang w:val="es-ES_tradnl"/>
        </w:rPr>
        <w:t>CEEs</w:t>
      </w:r>
      <w:r w:rsidRPr="00BE20A7">
        <w:rPr>
          <w:sz w:val="24"/>
          <w:szCs w:val="24"/>
          <w:lang w:val="es-ES_tradnl"/>
        </w:rPr>
        <w:t xml:space="preserve"> con ambas puntuaciones por debajo de 50 puntos sobre 100 constituyen el grupo de </w:t>
      </w:r>
      <w:r w:rsidR="00413BB0">
        <w:rPr>
          <w:sz w:val="24"/>
          <w:szCs w:val="24"/>
          <w:lang w:val="es-ES_tradnl"/>
        </w:rPr>
        <w:t>entidades</w:t>
      </w:r>
      <w:r w:rsidR="00413BB0" w:rsidRPr="00BE20A7">
        <w:rPr>
          <w:sz w:val="24"/>
          <w:szCs w:val="24"/>
          <w:lang w:val="es-ES_tradnl"/>
        </w:rPr>
        <w:t xml:space="preserve"> </w:t>
      </w:r>
      <w:r w:rsidRPr="00BE20A7">
        <w:rPr>
          <w:sz w:val="24"/>
          <w:szCs w:val="24"/>
          <w:lang w:val="es-ES_tradnl"/>
        </w:rPr>
        <w:t xml:space="preserve">de bajo rendimiento. De esta forma, se han ido formando </w:t>
      </w:r>
      <w:r>
        <w:rPr>
          <w:sz w:val="24"/>
          <w:szCs w:val="24"/>
          <w:lang w:val="es-ES_tradnl"/>
        </w:rPr>
        <w:t xml:space="preserve">nueve </w:t>
      </w:r>
      <w:r w:rsidRPr="00BE20A7">
        <w:rPr>
          <w:sz w:val="24"/>
          <w:szCs w:val="24"/>
          <w:lang w:val="es-ES_tradnl"/>
        </w:rPr>
        <w:t xml:space="preserve">grupos de </w:t>
      </w:r>
      <w:r w:rsidR="00A95742">
        <w:rPr>
          <w:sz w:val="24"/>
          <w:szCs w:val="24"/>
          <w:lang w:val="es-ES_tradnl"/>
        </w:rPr>
        <w:t>CEEs</w:t>
      </w:r>
      <w:r w:rsidRPr="00BE20A7">
        <w:rPr>
          <w:sz w:val="24"/>
          <w:szCs w:val="24"/>
          <w:lang w:val="es-ES_tradnl"/>
        </w:rPr>
        <w:t xml:space="preserve"> según sus puntuaciones en una y otra dimensión.  </w:t>
      </w:r>
    </w:p>
    <w:p w:rsidR="003959C3" w:rsidRDefault="003959C3" w:rsidP="005217FE">
      <w:pPr>
        <w:pStyle w:val="Prrafodelista"/>
        <w:pBdr>
          <w:bottom w:val="single" w:sz="4" w:space="1" w:color="auto"/>
        </w:pBdr>
        <w:spacing w:line="360" w:lineRule="auto"/>
        <w:ind w:left="0"/>
        <w:jc w:val="both"/>
        <w:rPr>
          <w:sz w:val="24"/>
          <w:szCs w:val="24"/>
          <w:lang w:val="es-ES_tradnl"/>
        </w:rPr>
      </w:pPr>
    </w:p>
    <w:p w:rsidR="00F94E4D" w:rsidRPr="00BE20A7" w:rsidRDefault="003A7D46" w:rsidP="00842404">
      <w:pPr>
        <w:pStyle w:val="Prrafodelista"/>
        <w:spacing w:line="360" w:lineRule="auto"/>
        <w:ind w:left="-1134"/>
        <w:jc w:val="center"/>
        <w:rPr>
          <w:sz w:val="24"/>
          <w:szCs w:val="24"/>
          <w:lang w:val="es-ES_tradnl"/>
        </w:rPr>
      </w:pPr>
      <w:r>
        <w:rPr>
          <w:noProof/>
          <w:sz w:val="24"/>
          <w:szCs w:val="24"/>
          <w:lang w:eastAsia="es-ES"/>
        </w:rPr>
        <w:lastRenderedPageBreak/>
        <w:drawing>
          <wp:inline distT="0" distB="0" distL="0" distR="0">
            <wp:extent cx="5720899" cy="3676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730191" cy="3682622"/>
                    </a:xfrm>
                    <a:prstGeom prst="rect">
                      <a:avLst/>
                    </a:prstGeom>
                    <a:noFill/>
                    <a:ln w="9525">
                      <a:noFill/>
                      <a:miter lim="800000"/>
                      <a:headEnd/>
                      <a:tailEnd/>
                    </a:ln>
                  </pic:spPr>
                </pic:pic>
              </a:graphicData>
            </a:graphic>
          </wp:inline>
        </w:drawing>
      </w:r>
    </w:p>
    <w:p w:rsidR="00A80E1D" w:rsidRDefault="003A7D46" w:rsidP="00842404">
      <w:pPr>
        <w:autoSpaceDE w:val="0"/>
        <w:autoSpaceDN w:val="0"/>
        <w:spacing w:line="360" w:lineRule="auto"/>
        <w:ind w:left="-1134"/>
        <w:jc w:val="center"/>
        <w:rPr>
          <w:noProof/>
          <w:sz w:val="24"/>
          <w:szCs w:val="24"/>
          <w:lang w:eastAsia="es-ES"/>
        </w:rPr>
      </w:pPr>
      <w:r>
        <w:rPr>
          <w:noProof/>
          <w:sz w:val="24"/>
          <w:szCs w:val="24"/>
          <w:lang w:eastAsia="es-ES"/>
        </w:rPr>
        <w:drawing>
          <wp:inline distT="0" distB="0" distL="0" distR="0">
            <wp:extent cx="5862135" cy="3810000"/>
            <wp:effectExtent l="0" t="0" r="0" b="0"/>
            <wp:docPr id="2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srcRect/>
                    <a:stretch>
                      <a:fillRect/>
                    </a:stretch>
                  </pic:blipFill>
                  <pic:spPr bwMode="auto">
                    <a:xfrm>
                      <a:off x="0" y="0"/>
                      <a:ext cx="5889162" cy="3827566"/>
                    </a:xfrm>
                    <a:prstGeom prst="rect">
                      <a:avLst/>
                    </a:prstGeom>
                    <a:noFill/>
                    <a:ln w="9525">
                      <a:noFill/>
                      <a:miter lim="800000"/>
                      <a:headEnd/>
                      <a:tailEnd/>
                    </a:ln>
                  </pic:spPr>
                </pic:pic>
              </a:graphicData>
            </a:graphic>
          </wp:inline>
        </w:drawing>
      </w:r>
    </w:p>
    <w:p w:rsidR="005217FE" w:rsidRPr="00BE20A7" w:rsidRDefault="005217FE" w:rsidP="005217FE">
      <w:pPr>
        <w:pStyle w:val="Prrafodelista"/>
        <w:spacing w:line="360" w:lineRule="auto"/>
        <w:ind w:left="0"/>
        <w:jc w:val="both"/>
        <w:rPr>
          <w:sz w:val="20"/>
          <w:lang w:val="es-ES_tradnl"/>
        </w:rPr>
      </w:pPr>
      <w:r w:rsidRPr="00BE20A7">
        <w:rPr>
          <w:sz w:val="20"/>
          <w:lang w:val="es-ES_tradnl"/>
        </w:rPr>
        <w:t>Fuente: elaboración propia</w:t>
      </w:r>
    </w:p>
    <w:p w:rsidR="005217FE" w:rsidRPr="00BE20A7" w:rsidRDefault="007751C0" w:rsidP="005217FE">
      <w:pPr>
        <w:pStyle w:val="Prrafodelista"/>
        <w:pBdr>
          <w:bottom w:val="single" w:sz="4" w:space="1" w:color="auto"/>
        </w:pBdr>
        <w:spacing w:line="360" w:lineRule="auto"/>
        <w:ind w:left="0"/>
        <w:jc w:val="both"/>
        <w:rPr>
          <w:sz w:val="20"/>
          <w:lang w:val="es-ES_tradnl"/>
        </w:rPr>
      </w:pPr>
      <w:r>
        <w:rPr>
          <w:sz w:val="20"/>
          <w:lang w:val="es-ES_tradnl"/>
        </w:rPr>
        <w:lastRenderedPageBreak/>
        <w:t xml:space="preserve">Nota </w:t>
      </w:r>
      <w:r w:rsidR="005217FE" w:rsidRPr="00BE20A7">
        <w:rPr>
          <w:sz w:val="20"/>
          <w:lang w:val="es-ES_tradnl"/>
        </w:rPr>
        <w:t xml:space="preserve">explicativa de la gráfica: eje vertical, puntuación social de los </w:t>
      </w:r>
      <w:r w:rsidR="00A95742">
        <w:rPr>
          <w:sz w:val="20"/>
          <w:lang w:val="es-ES_tradnl"/>
        </w:rPr>
        <w:t>CEEs</w:t>
      </w:r>
      <w:r w:rsidR="005217FE" w:rsidRPr="00BE20A7">
        <w:rPr>
          <w:sz w:val="20"/>
          <w:lang w:val="es-ES_tradnl"/>
        </w:rPr>
        <w:t xml:space="preserve">; eje horizontal, puntuación financiera de los </w:t>
      </w:r>
      <w:r w:rsidR="00A95742">
        <w:rPr>
          <w:sz w:val="20"/>
          <w:lang w:val="es-ES_tradnl"/>
        </w:rPr>
        <w:t>CEEs</w:t>
      </w:r>
      <w:r w:rsidR="005217FE" w:rsidRPr="00BE20A7">
        <w:rPr>
          <w:sz w:val="20"/>
          <w:lang w:val="es-ES_tradnl"/>
        </w:rPr>
        <w:t xml:space="preserve">. Cada centro viene reflejado en la gráfica por un número y su situación en la gráfica se debe a su puntuación financiera y social. Los </w:t>
      </w:r>
      <w:r w:rsidR="00A95742">
        <w:rPr>
          <w:sz w:val="20"/>
          <w:lang w:val="es-ES_tradnl"/>
        </w:rPr>
        <w:t>CEEs</w:t>
      </w:r>
      <w:r w:rsidR="005217FE" w:rsidRPr="00BE20A7">
        <w:rPr>
          <w:sz w:val="20"/>
          <w:lang w:val="es-ES_tradnl"/>
        </w:rPr>
        <w:t xml:space="preserve"> que aparecen dentro de un grupo de </w:t>
      </w:r>
      <w:r w:rsidR="00A95742">
        <w:rPr>
          <w:sz w:val="20"/>
          <w:lang w:val="es-ES_tradnl"/>
        </w:rPr>
        <w:t>CEEs</w:t>
      </w:r>
      <w:r w:rsidR="005217FE" w:rsidRPr="00BE20A7">
        <w:rPr>
          <w:sz w:val="20"/>
          <w:lang w:val="es-ES_tradnl"/>
        </w:rPr>
        <w:t xml:space="preserve">, por ejemplo los </w:t>
      </w:r>
      <w:r w:rsidR="00A95742">
        <w:rPr>
          <w:sz w:val="20"/>
          <w:lang w:val="es-ES_tradnl"/>
        </w:rPr>
        <w:t>CEEs</w:t>
      </w:r>
      <w:r w:rsidR="005217FE" w:rsidRPr="00BE20A7">
        <w:rPr>
          <w:sz w:val="20"/>
          <w:lang w:val="es-ES_tradnl"/>
        </w:rPr>
        <w:t xml:space="preserve"> 34, 35, 36, 37 y 38 se muestran así porque tienen exactamente las </w:t>
      </w:r>
      <w:r w:rsidR="005217FE">
        <w:rPr>
          <w:sz w:val="20"/>
          <w:lang w:val="es-ES_tradnl"/>
        </w:rPr>
        <w:t>misma</w:t>
      </w:r>
      <w:r w:rsidR="005217FE" w:rsidRPr="00BE20A7">
        <w:rPr>
          <w:sz w:val="20"/>
          <w:lang w:val="es-ES_tradnl"/>
        </w:rPr>
        <w:t>s puntuaciones entre ellos</w:t>
      </w:r>
    </w:p>
    <w:p w:rsidR="005217FE" w:rsidRPr="00842404" w:rsidRDefault="006A42A8" w:rsidP="00842404">
      <w:pPr>
        <w:spacing w:line="360" w:lineRule="auto"/>
        <w:jc w:val="both"/>
        <w:rPr>
          <w:sz w:val="18"/>
          <w:szCs w:val="18"/>
          <w:lang w:val="es-ES_tradnl"/>
        </w:rPr>
      </w:pPr>
      <w:r w:rsidRPr="00842404">
        <w:rPr>
          <w:sz w:val="18"/>
          <w:szCs w:val="18"/>
          <w:lang w:val="es-ES_tradnl"/>
        </w:rPr>
        <w:t>Datos de 2012-2013</w:t>
      </w:r>
    </w:p>
    <w:p w:rsidR="006A42A8" w:rsidRPr="00BE20A7" w:rsidRDefault="006A42A8" w:rsidP="005217FE">
      <w:pPr>
        <w:pStyle w:val="Prrafodelista"/>
        <w:spacing w:line="360" w:lineRule="auto"/>
        <w:ind w:left="57"/>
        <w:jc w:val="both"/>
        <w:rPr>
          <w:sz w:val="24"/>
          <w:szCs w:val="24"/>
          <w:lang w:val="es-ES_tradnl"/>
        </w:rPr>
      </w:pPr>
    </w:p>
    <w:p w:rsidR="008603D6" w:rsidRPr="00BE20A7" w:rsidRDefault="008603D6" w:rsidP="00DC4ABC">
      <w:pPr>
        <w:pStyle w:val="Prrafodelista"/>
        <w:spacing w:line="360" w:lineRule="auto"/>
        <w:ind w:left="57"/>
        <w:jc w:val="both"/>
        <w:rPr>
          <w:sz w:val="24"/>
          <w:szCs w:val="24"/>
          <w:lang w:val="es-ES_tradnl"/>
        </w:rPr>
      </w:pPr>
      <w:r w:rsidRPr="00BE20A7">
        <w:rPr>
          <w:sz w:val="24"/>
          <w:szCs w:val="24"/>
          <w:lang w:val="es-ES_tradnl"/>
        </w:rPr>
        <w:t xml:space="preserve">Resulta interesante examinar un poco más a fondo las características de los distintos grupos que se forman, las cuales se detallan en cada uno de los cuadrantes correspondientes del cuadro siguiente. Por ejemplo, hay 22 </w:t>
      </w:r>
      <w:r w:rsidR="00A95742">
        <w:rPr>
          <w:sz w:val="24"/>
          <w:szCs w:val="24"/>
          <w:lang w:val="es-ES_tradnl"/>
        </w:rPr>
        <w:t>CEEs</w:t>
      </w:r>
      <w:r w:rsidRPr="00BE20A7">
        <w:rPr>
          <w:sz w:val="24"/>
          <w:szCs w:val="24"/>
          <w:lang w:val="es-ES_tradnl"/>
        </w:rPr>
        <w:t xml:space="preserve"> en el cua</w:t>
      </w:r>
      <w:r w:rsidR="00920790">
        <w:rPr>
          <w:sz w:val="24"/>
          <w:szCs w:val="24"/>
          <w:lang w:val="es-ES_tradnl"/>
        </w:rPr>
        <w:t xml:space="preserve">drante de mayor rendimiento, (el </w:t>
      </w:r>
      <w:r w:rsidR="00920790" w:rsidRPr="00BE20A7">
        <w:rPr>
          <w:sz w:val="24"/>
          <w:szCs w:val="24"/>
          <w:lang w:val="es-ES_tradnl"/>
        </w:rPr>
        <w:t xml:space="preserve">cuadrante I </w:t>
      </w:r>
      <w:r w:rsidRPr="00BE20A7">
        <w:rPr>
          <w:sz w:val="24"/>
          <w:szCs w:val="24"/>
          <w:lang w:val="es-ES_tradnl"/>
        </w:rPr>
        <w:t>situad</w:t>
      </w:r>
      <w:r w:rsidR="00920790">
        <w:rPr>
          <w:sz w:val="24"/>
          <w:szCs w:val="24"/>
          <w:lang w:val="es-ES_tradnl"/>
        </w:rPr>
        <w:t>o en la parte superior derecha</w:t>
      </w:r>
      <w:r w:rsidRPr="00BE20A7">
        <w:rPr>
          <w:sz w:val="24"/>
          <w:szCs w:val="24"/>
          <w:lang w:val="es-ES_tradnl"/>
        </w:rPr>
        <w:t>) lo que representa un 14% de los analizados. Sin embargo</w:t>
      </w:r>
      <w:r w:rsidR="00BC455A">
        <w:rPr>
          <w:sz w:val="24"/>
          <w:szCs w:val="24"/>
          <w:lang w:val="es-ES_tradnl"/>
        </w:rPr>
        <w:t>,</w:t>
      </w:r>
      <w:r w:rsidRPr="00BE20A7">
        <w:rPr>
          <w:sz w:val="24"/>
          <w:szCs w:val="24"/>
          <w:lang w:val="es-ES_tradnl"/>
        </w:rPr>
        <w:t xml:space="preserve"> </w:t>
      </w:r>
      <w:r w:rsidR="00BC455A">
        <w:rPr>
          <w:sz w:val="24"/>
          <w:szCs w:val="24"/>
          <w:lang w:val="es-ES_tradnl"/>
        </w:rPr>
        <w:t>capturan</w:t>
      </w:r>
      <w:r w:rsidRPr="00BE20A7">
        <w:rPr>
          <w:sz w:val="24"/>
          <w:szCs w:val="24"/>
          <w:lang w:val="es-ES_tradnl"/>
        </w:rPr>
        <w:t xml:space="preserve"> casi un tercio del empleo de personas con discapacidad. Si consideramos los de los cuadrantes II y IV, junto con los del cuadrante I, estaríamos considerando los tres cuadrantes de mayor rendimiento. </w:t>
      </w:r>
      <w:r w:rsidR="00EA2F5E">
        <w:rPr>
          <w:sz w:val="24"/>
          <w:szCs w:val="24"/>
          <w:lang w:val="es-ES_tradnl"/>
        </w:rPr>
        <w:t xml:space="preserve">Los 73 </w:t>
      </w:r>
      <w:r w:rsidR="00FE32B8">
        <w:rPr>
          <w:sz w:val="24"/>
          <w:szCs w:val="24"/>
          <w:lang w:val="es-ES_tradnl"/>
        </w:rPr>
        <w:t>centros</w:t>
      </w:r>
      <w:r w:rsidR="00EA2F5E">
        <w:rPr>
          <w:sz w:val="24"/>
          <w:szCs w:val="24"/>
          <w:lang w:val="es-ES_tradnl"/>
        </w:rPr>
        <w:t xml:space="preserve"> que conforman los cuadrantes I, II y IV</w:t>
      </w:r>
      <w:r w:rsidRPr="00BE20A7">
        <w:rPr>
          <w:sz w:val="24"/>
          <w:szCs w:val="24"/>
          <w:lang w:val="es-ES_tradnl"/>
        </w:rPr>
        <w:t xml:space="preserve"> </w:t>
      </w:r>
      <w:r w:rsidR="00EA2F5E">
        <w:rPr>
          <w:sz w:val="24"/>
          <w:szCs w:val="24"/>
          <w:lang w:val="es-ES_tradnl"/>
        </w:rPr>
        <w:t xml:space="preserve">suponen </w:t>
      </w:r>
      <w:r w:rsidRPr="00BE20A7">
        <w:rPr>
          <w:sz w:val="24"/>
          <w:szCs w:val="24"/>
          <w:lang w:val="es-ES_tradnl"/>
        </w:rPr>
        <w:t xml:space="preserve">el 47% de </w:t>
      </w:r>
      <w:r w:rsidR="00ED4356">
        <w:rPr>
          <w:sz w:val="24"/>
          <w:szCs w:val="24"/>
          <w:lang w:val="es-ES_tradnl"/>
        </w:rPr>
        <w:t>los centros</w:t>
      </w:r>
      <w:r w:rsidRPr="00BE20A7">
        <w:rPr>
          <w:sz w:val="24"/>
          <w:szCs w:val="24"/>
          <w:lang w:val="es-ES_tradnl"/>
        </w:rPr>
        <w:t xml:space="preserve"> </w:t>
      </w:r>
      <w:r w:rsidR="00EA2F5E">
        <w:rPr>
          <w:sz w:val="24"/>
          <w:szCs w:val="24"/>
          <w:lang w:val="es-ES_tradnl"/>
        </w:rPr>
        <w:t xml:space="preserve">y </w:t>
      </w:r>
      <w:r w:rsidRPr="00BE20A7">
        <w:rPr>
          <w:sz w:val="24"/>
          <w:szCs w:val="24"/>
          <w:lang w:val="es-ES_tradnl"/>
        </w:rPr>
        <w:t>el 76% del empleo de las personas con discapacidad de todos lo</w:t>
      </w:r>
      <w:r w:rsidR="00EA2F5E">
        <w:rPr>
          <w:sz w:val="24"/>
          <w:szCs w:val="24"/>
          <w:lang w:val="es-ES_tradnl"/>
        </w:rPr>
        <w:t>s CEEs</w:t>
      </w:r>
      <w:r w:rsidR="00ED4356">
        <w:rPr>
          <w:sz w:val="24"/>
          <w:szCs w:val="24"/>
          <w:lang w:val="es-ES_tradnl"/>
        </w:rPr>
        <w:t>.</w:t>
      </w:r>
      <w:r w:rsidRPr="00BE20A7">
        <w:rPr>
          <w:sz w:val="24"/>
          <w:szCs w:val="24"/>
          <w:lang w:val="es-ES_tradnl"/>
        </w:rPr>
        <w:t xml:space="preserve"> De</w:t>
      </w:r>
      <w:r w:rsidR="00ED4356">
        <w:rPr>
          <w:sz w:val="24"/>
          <w:szCs w:val="24"/>
          <w:lang w:val="es-ES_tradnl"/>
        </w:rPr>
        <w:t>l análisis se concluye que</w:t>
      </w:r>
      <w:r w:rsidRPr="00BE20A7">
        <w:rPr>
          <w:sz w:val="24"/>
          <w:szCs w:val="24"/>
          <w:lang w:val="es-ES_tradnl"/>
        </w:rPr>
        <w:t xml:space="preserve"> la gran mayoría de las personas con discapacidad empleadas en </w:t>
      </w:r>
      <w:r w:rsidR="00263316">
        <w:rPr>
          <w:sz w:val="24"/>
          <w:szCs w:val="24"/>
          <w:lang w:val="es-ES_tradnl"/>
        </w:rPr>
        <w:t>CEEs</w:t>
      </w:r>
      <w:r w:rsidRPr="00BE20A7">
        <w:rPr>
          <w:sz w:val="24"/>
          <w:szCs w:val="24"/>
          <w:lang w:val="es-ES_tradnl"/>
        </w:rPr>
        <w:t xml:space="preserve"> de Castilla y León trabajan en </w:t>
      </w:r>
      <w:r w:rsidR="00ED4356">
        <w:rPr>
          <w:sz w:val="24"/>
          <w:szCs w:val="24"/>
          <w:lang w:val="es-ES_tradnl"/>
        </w:rPr>
        <w:t>centros</w:t>
      </w:r>
      <w:r w:rsidRPr="00BE20A7">
        <w:rPr>
          <w:sz w:val="24"/>
          <w:szCs w:val="24"/>
          <w:lang w:val="es-ES_tradnl"/>
        </w:rPr>
        <w:t xml:space="preserve"> </w:t>
      </w:r>
      <w:r>
        <w:rPr>
          <w:sz w:val="24"/>
          <w:szCs w:val="24"/>
          <w:lang w:val="es-ES_tradnl"/>
        </w:rPr>
        <w:t xml:space="preserve">robustos financieramente y de elevado </w:t>
      </w:r>
      <w:r w:rsidRPr="00BE20A7">
        <w:rPr>
          <w:sz w:val="24"/>
          <w:szCs w:val="24"/>
          <w:lang w:val="es-ES_tradnl"/>
        </w:rPr>
        <w:t xml:space="preserve">impacto social. </w:t>
      </w:r>
    </w:p>
    <w:p w:rsidR="008603D6" w:rsidRPr="000D530F" w:rsidRDefault="008603D6" w:rsidP="000D530F">
      <w:pPr>
        <w:spacing w:line="360" w:lineRule="auto"/>
        <w:jc w:val="both"/>
        <w:rPr>
          <w:sz w:val="24"/>
          <w:szCs w:val="24"/>
          <w:lang w:val="es-ES_tradnl"/>
        </w:rPr>
      </w:pPr>
    </w:p>
    <w:p w:rsidR="008603D6" w:rsidRPr="00BE20A7" w:rsidRDefault="0058544F" w:rsidP="008603D6">
      <w:pPr>
        <w:pStyle w:val="Prrafodelista"/>
        <w:spacing w:line="360" w:lineRule="auto"/>
        <w:ind w:left="-1418"/>
        <w:jc w:val="both"/>
        <w:rPr>
          <w:sz w:val="24"/>
          <w:szCs w:val="24"/>
          <w:lang w:val="es-ES_tradnl"/>
        </w:rPr>
      </w:pPr>
      <w:r>
        <w:rPr>
          <w:noProof/>
          <w:lang w:eastAsia="es-ES"/>
        </w:rPr>
        <w:lastRenderedPageBreak/>
        <w:drawing>
          <wp:inline distT="0" distB="0" distL="0" distR="0">
            <wp:extent cx="6996022" cy="457599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7004014" cy="4581226"/>
                    </a:xfrm>
                    <a:prstGeom prst="rect">
                      <a:avLst/>
                    </a:prstGeom>
                  </pic:spPr>
                </pic:pic>
              </a:graphicData>
            </a:graphic>
          </wp:inline>
        </w:drawing>
      </w:r>
    </w:p>
    <w:p w:rsidR="008603D6" w:rsidRPr="00BE20A7" w:rsidRDefault="008603D6" w:rsidP="008603D6">
      <w:pPr>
        <w:pStyle w:val="Prrafodelista"/>
        <w:spacing w:line="360" w:lineRule="auto"/>
        <w:ind w:left="0"/>
        <w:jc w:val="both"/>
        <w:rPr>
          <w:sz w:val="20"/>
          <w:lang w:val="es-ES_tradnl"/>
        </w:rPr>
      </w:pPr>
      <w:r w:rsidRPr="00BE20A7">
        <w:rPr>
          <w:sz w:val="20"/>
          <w:lang w:val="es-ES_tradnl"/>
        </w:rPr>
        <w:t>Fuente: elaboración propia</w:t>
      </w:r>
    </w:p>
    <w:p w:rsidR="008603D6" w:rsidRPr="00BE20A7" w:rsidRDefault="007751C0" w:rsidP="008603D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03D6" w:rsidRPr="00BE20A7">
        <w:rPr>
          <w:sz w:val="20"/>
          <w:lang w:val="es-ES_tradnl"/>
        </w:rPr>
        <w:t xml:space="preserve">explicativa de la gráfica: la gráfica replica los cuadrantes de la tabla anterior. Cada cuadrante contiene información acerca de los </w:t>
      </w:r>
      <w:r w:rsidR="00A95742">
        <w:rPr>
          <w:sz w:val="20"/>
          <w:lang w:val="es-ES_tradnl"/>
        </w:rPr>
        <w:t>CEEs</w:t>
      </w:r>
      <w:r w:rsidR="008603D6" w:rsidRPr="00BE20A7">
        <w:rPr>
          <w:sz w:val="20"/>
          <w:lang w:val="es-ES_tradnl"/>
        </w:rPr>
        <w:t xml:space="preserve"> que se sitúan en el cuadrante equivalente en la gráfica anterior. La información que se proporciona es: la suma de la personas con discapacidad empleadas por los </w:t>
      </w:r>
      <w:r w:rsidR="00A95742">
        <w:rPr>
          <w:sz w:val="20"/>
          <w:lang w:val="es-ES_tradnl"/>
        </w:rPr>
        <w:t>CEEs</w:t>
      </w:r>
      <w:r w:rsidR="008603D6" w:rsidRPr="00BE20A7">
        <w:rPr>
          <w:sz w:val="20"/>
          <w:lang w:val="es-ES_tradnl"/>
        </w:rPr>
        <w:t xml:space="preserve"> de ese cuadrante, el número de </w:t>
      </w:r>
      <w:r w:rsidR="00A95742">
        <w:rPr>
          <w:sz w:val="20"/>
          <w:lang w:val="es-ES_tradnl"/>
        </w:rPr>
        <w:t>CEEs</w:t>
      </w:r>
      <w:r w:rsidR="008603D6" w:rsidRPr="00BE20A7">
        <w:rPr>
          <w:sz w:val="20"/>
          <w:lang w:val="es-ES_tradnl"/>
        </w:rPr>
        <w:t xml:space="preserve">, el porcentaje que representan las personas con discapacidad empleadas por los </w:t>
      </w:r>
      <w:r w:rsidR="00A95742">
        <w:rPr>
          <w:sz w:val="20"/>
          <w:lang w:val="es-ES_tradnl"/>
        </w:rPr>
        <w:t>CEEs</w:t>
      </w:r>
      <w:r w:rsidR="008603D6" w:rsidRPr="00BE20A7">
        <w:rPr>
          <w:sz w:val="20"/>
          <w:lang w:val="es-ES_tradnl"/>
        </w:rPr>
        <w:t xml:space="preserve"> de ese cuadrante sobre el total de personas con discapacidad de todos los </w:t>
      </w:r>
      <w:r w:rsidR="00A95742">
        <w:rPr>
          <w:sz w:val="20"/>
          <w:lang w:val="es-ES_tradnl"/>
        </w:rPr>
        <w:t>CEEs</w:t>
      </w:r>
      <w:r w:rsidR="008603D6" w:rsidRPr="00BE20A7">
        <w:rPr>
          <w:sz w:val="20"/>
          <w:lang w:val="es-ES_tradnl"/>
        </w:rPr>
        <w:t xml:space="preserve">; el número medio de empleados por centro; y la puntuaciones medias de los </w:t>
      </w:r>
      <w:r w:rsidR="00A95742">
        <w:rPr>
          <w:sz w:val="20"/>
          <w:lang w:val="es-ES_tradnl"/>
        </w:rPr>
        <w:t>CEEs</w:t>
      </w:r>
      <w:r w:rsidR="008603D6" w:rsidRPr="00BE20A7">
        <w:rPr>
          <w:sz w:val="20"/>
          <w:lang w:val="es-ES_tradnl"/>
        </w:rPr>
        <w:t xml:space="preserve"> que se sitúan en ese cuadrante.</w:t>
      </w:r>
    </w:p>
    <w:p w:rsidR="007B3767" w:rsidRDefault="007B3767" w:rsidP="007B3767">
      <w:pPr>
        <w:pStyle w:val="Ttulo2"/>
        <w:rPr>
          <w:lang w:val="es-ES_tradnl"/>
        </w:rPr>
      </w:pPr>
      <w:bookmarkStart w:id="227" w:name="_Toc410916872"/>
      <w:r w:rsidRPr="00CE2D06">
        <w:rPr>
          <w:lang w:val="es-ES_tradnl"/>
        </w:rPr>
        <w:t xml:space="preserve">Evaluación </w:t>
      </w:r>
      <w:r>
        <w:rPr>
          <w:lang w:val="es-ES_tradnl"/>
        </w:rPr>
        <w:t>f</w:t>
      </w:r>
      <w:r w:rsidRPr="00CE2D06">
        <w:rPr>
          <w:lang w:val="es-ES_tradnl"/>
        </w:rPr>
        <w:t>inanciera</w:t>
      </w:r>
      <w:bookmarkEnd w:id="227"/>
    </w:p>
    <w:p w:rsidR="00046EC0" w:rsidRDefault="00046EC0" w:rsidP="007B3767">
      <w:pPr>
        <w:pBdr>
          <w:bottom w:val="single" w:sz="4" w:space="1" w:color="auto"/>
        </w:pBdr>
        <w:tabs>
          <w:tab w:val="left" w:pos="5103"/>
          <w:tab w:val="left" w:pos="5529"/>
        </w:tabs>
        <w:spacing w:line="360" w:lineRule="auto"/>
        <w:jc w:val="both"/>
        <w:rPr>
          <w:rFonts w:ascii="Calibri" w:hAnsi="Calibri"/>
          <w:szCs w:val="22"/>
          <w:lang w:val="es-ES_tradnl"/>
        </w:rPr>
      </w:pPr>
    </w:p>
    <w:p w:rsidR="007B3767" w:rsidRPr="00BE20A7" w:rsidRDefault="007B3767" w:rsidP="007B3767">
      <w:pPr>
        <w:pBdr>
          <w:bottom w:val="single" w:sz="4" w:space="1" w:color="auto"/>
        </w:pBdr>
        <w:tabs>
          <w:tab w:val="left" w:pos="5103"/>
          <w:tab w:val="left" w:pos="5529"/>
        </w:tabs>
        <w:spacing w:line="360" w:lineRule="auto"/>
        <w:jc w:val="both"/>
        <w:rPr>
          <w:noProof/>
          <w:lang w:eastAsia="es-ES"/>
        </w:rPr>
      </w:pPr>
      <w:r w:rsidRPr="00BE20A7">
        <w:rPr>
          <w:sz w:val="24"/>
          <w:szCs w:val="24"/>
          <w:lang w:val="es-ES_tradnl"/>
        </w:rPr>
        <w:t>En el análisis financiero</w:t>
      </w:r>
      <w:r>
        <w:rPr>
          <w:sz w:val="24"/>
          <w:szCs w:val="24"/>
          <w:lang w:val="es-ES_tradnl"/>
        </w:rPr>
        <w:t>,</w:t>
      </w:r>
      <w:r w:rsidRPr="00BE20A7">
        <w:rPr>
          <w:sz w:val="24"/>
          <w:szCs w:val="24"/>
          <w:lang w:val="es-ES_tradnl"/>
        </w:rPr>
        <w:t xml:space="preserve"> los </w:t>
      </w:r>
      <w:r w:rsidR="00A95742">
        <w:rPr>
          <w:sz w:val="24"/>
          <w:szCs w:val="24"/>
          <w:lang w:val="es-ES_tradnl"/>
        </w:rPr>
        <w:t>CEEs</w:t>
      </w:r>
      <w:r w:rsidRPr="00BE20A7">
        <w:rPr>
          <w:sz w:val="24"/>
          <w:szCs w:val="24"/>
          <w:lang w:val="es-ES_tradnl"/>
        </w:rPr>
        <w:t xml:space="preserve"> </w:t>
      </w:r>
      <w:r>
        <w:rPr>
          <w:sz w:val="24"/>
          <w:szCs w:val="24"/>
          <w:lang w:val="es-ES_tradnl"/>
        </w:rPr>
        <w:t xml:space="preserve">han sido evaluados de acuerdo a parámetros convencionales relacionados con la liquidez, </w:t>
      </w:r>
      <w:r w:rsidR="0045063C">
        <w:rPr>
          <w:sz w:val="24"/>
          <w:szCs w:val="24"/>
          <w:lang w:val="es-ES_tradnl"/>
        </w:rPr>
        <w:t xml:space="preserve">la </w:t>
      </w:r>
      <w:r>
        <w:rPr>
          <w:sz w:val="24"/>
          <w:szCs w:val="24"/>
          <w:lang w:val="es-ES_tradnl"/>
        </w:rPr>
        <w:t xml:space="preserve">solvencia o </w:t>
      </w:r>
      <w:r w:rsidR="0045063C">
        <w:rPr>
          <w:sz w:val="24"/>
          <w:szCs w:val="24"/>
          <w:lang w:val="es-ES_tradnl"/>
        </w:rPr>
        <w:t xml:space="preserve">el </w:t>
      </w:r>
      <w:r>
        <w:rPr>
          <w:sz w:val="24"/>
          <w:szCs w:val="24"/>
          <w:lang w:val="es-ES_tradnl"/>
        </w:rPr>
        <w:t xml:space="preserve">endeudamiento, entre otros. El propósito es tener una foto acerca de los </w:t>
      </w:r>
      <w:r w:rsidR="00A95742">
        <w:rPr>
          <w:sz w:val="24"/>
          <w:szCs w:val="24"/>
          <w:lang w:val="es-ES_tradnl"/>
        </w:rPr>
        <w:t>CEEs</w:t>
      </w:r>
      <w:r>
        <w:rPr>
          <w:sz w:val="24"/>
          <w:szCs w:val="24"/>
          <w:lang w:val="es-ES_tradnl"/>
        </w:rPr>
        <w:t xml:space="preserve"> como empresas, sin atender a las </w:t>
      </w:r>
      <w:r w:rsidR="00ED4356">
        <w:rPr>
          <w:sz w:val="24"/>
          <w:szCs w:val="24"/>
          <w:lang w:val="es-ES_tradnl"/>
        </w:rPr>
        <w:t>particularidades</w:t>
      </w:r>
      <w:r>
        <w:rPr>
          <w:sz w:val="24"/>
          <w:szCs w:val="24"/>
          <w:lang w:val="es-ES_tradnl"/>
        </w:rPr>
        <w:t xml:space="preserve"> de su objeto social. </w:t>
      </w:r>
      <w:r w:rsidRPr="00BE20A7">
        <w:rPr>
          <w:sz w:val="24"/>
          <w:szCs w:val="24"/>
          <w:lang w:val="es-ES_tradnl"/>
        </w:rPr>
        <w:t xml:space="preserve">El objetivo de </w:t>
      </w:r>
      <w:r w:rsidR="00ED4356">
        <w:rPr>
          <w:sz w:val="24"/>
          <w:szCs w:val="24"/>
          <w:lang w:val="es-ES_tradnl"/>
        </w:rPr>
        <w:t>este</w:t>
      </w:r>
      <w:r w:rsidRPr="00BE20A7">
        <w:rPr>
          <w:sz w:val="24"/>
          <w:szCs w:val="24"/>
          <w:lang w:val="es-ES_tradnl"/>
        </w:rPr>
        <w:t xml:space="preserve"> análisis es diagnosticar en qué medida </w:t>
      </w:r>
      <w:r>
        <w:rPr>
          <w:sz w:val="24"/>
          <w:szCs w:val="24"/>
          <w:lang w:val="es-ES_tradnl"/>
        </w:rPr>
        <w:t xml:space="preserve">los parámetros financieros de los </w:t>
      </w:r>
      <w:r w:rsidR="00A95742">
        <w:rPr>
          <w:sz w:val="24"/>
          <w:szCs w:val="24"/>
          <w:lang w:val="es-ES_tradnl"/>
        </w:rPr>
        <w:t>CEEs</w:t>
      </w:r>
      <w:r>
        <w:rPr>
          <w:sz w:val="24"/>
          <w:szCs w:val="24"/>
          <w:lang w:val="es-ES_tradnl"/>
        </w:rPr>
        <w:t xml:space="preserve"> señalan modelos de </w:t>
      </w:r>
      <w:proofErr w:type="gramStart"/>
      <w:r>
        <w:rPr>
          <w:sz w:val="24"/>
          <w:szCs w:val="24"/>
          <w:lang w:val="es-ES_tradnl"/>
        </w:rPr>
        <w:t>negocio robustos y sostenibles</w:t>
      </w:r>
      <w:proofErr w:type="gramEnd"/>
      <w:r>
        <w:rPr>
          <w:sz w:val="24"/>
          <w:szCs w:val="24"/>
          <w:lang w:val="es-ES_tradnl"/>
        </w:rPr>
        <w:t xml:space="preserve">. </w:t>
      </w:r>
    </w:p>
    <w:p w:rsidR="007B3767" w:rsidRPr="00BE20A7" w:rsidRDefault="007B3767" w:rsidP="007B3767">
      <w:pPr>
        <w:pBdr>
          <w:bottom w:val="single" w:sz="4" w:space="1" w:color="auto"/>
        </w:pBdr>
        <w:tabs>
          <w:tab w:val="left" w:pos="5103"/>
          <w:tab w:val="left" w:pos="5529"/>
        </w:tabs>
        <w:spacing w:line="360" w:lineRule="auto"/>
        <w:rPr>
          <w:noProof/>
          <w:lang w:eastAsia="es-ES"/>
        </w:rPr>
      </w:pPr>
    </w:p>
    <w:p w:rsidR="007B3767" w:rsidRPr="00BE20A7" w:rsidRDefault="002A54F6" w:rsidP="007B3767">
      <w:pPr>
        <w:spacing w:before="360" w:line="360" w:lineRule="auto"/>
        <w:ind w:left="1276"/>
        <w:rPr>
          <w:noProof/>
          <w:lang w:eastAsia="es-ES"/>
        </w:rPr>
      </w:pPr>
      <w:r w:rsidRPr="002A54F6">
        <w:rPr>
          <w:noProof/>
          <w:lang w:eastAsia="es-ES"/>
        </w:rPr>
        <w:t xml:space="preserve"> </w:t>
      </w:r>
      <w:r>
        <w:rPr>
          <w:noProof/>
          <w:lang w:eastAsia="es-ES"/>
        </w:rPr>
        <w:drawing>
          <wp:inline distT="0" distB="0" distL="0" distR="0">
            <wp:extent cx="3581400" cy="2419349"/>
            <wp:effectExtent l="0" t="0" r="0" b="635"/>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3CD7" w:rsidRDefault="00163CD7" w:rsidP="007B3767">
      <w:pPr>
        <w:pBdr>
          <w:bottom w:val="single" w:sz="4" w:space="2" w:color="auto"/>
        </w:pBdr>
        <w:autoSpaceDE w:val="0"/>
        <w:autoSpaceDN w:val="0"/>
        <w:spacing w:line="360" w:lineRule="auto"/>
        <w:jc w:val="both"/>
        <w:rPr>
          <w:sz w:val="20"/>
        </w:rPr>
      </w:pPr>
    </w:p>
    <w:p w:rsidR="007B3767" w:rsidRPr="00BE20A7" w:rsidRDefault="007B3767" w:rsidP="007B3767">
      <w:pPr>
        <w:pBdr>
          <w:bottom w:val="single" w:sz="4" w:space="2" w:color="auto"/>
        </w:pBdr>
        <w:autoSpaceDE w:val="0"/>
        <w:autoSpaceDN w:val="0"/>
        <w:spacing w:line="360" w:lineRule="auto"/>
        <w:jc w:val="both"/>
        <w:rPr>
          <w:sz w:val="20"/>
        </w:rPr>
      </w:pPr>
      <w:r w:rsidRPr="00BE20A7">
        <w:rPr>
          <w:sz w:val="20"/>
        </w:rPr>
        <w:t>Fuente: elaboración propia</w:t>
      </w:r>
    </w:p>
    <w:p w:rsidR="007B3767" w:rsidRPr="00BE20A7" w:rsidRDefault="007751C0" w:rsidP="007B3767">
      <w:pPr>
        <w:pBdr>
          <w:bottom w:val="single" w:sz="4" w:space="2" w:color="auto"/>
        </w:pBdr>
        <w:autoSpaceDE w:val="0"/>
        <w:autoSpaceDN w:val="0"/>
        <w:spacing w:line="360" w:lineRule="auto"/>
        <w:jc w:val="both"/>
        <w:rPr>
          <w:sz w:val="20"/>
        </w:rPr>
      </w:pPr>
      <w:r>
        <w:rPr>
          <w:sz w:val="20"/>
        </w:rPr>
        <w:t xml:space="preserve">Nota </w:t>
      </w:r>
      <w:r w:rsidR="007B3767" w:rsidRPr="00BE20A7">
        <w:rPr>
          <w:sz w:val="20"/>
        </w:rPr>
        <w:t xml:space="preserve">explicativa de la gráfica: Un 78% de los </w:t>
      </w:r>
      <w:r w:rsidR="00A95742">
        <w:rPr>
          <w:sz w:val="20"/>
        </w:rPr>
        <w:t>CEEs</w:t>
      </w:r>
      <w:r w:rsidR="007B3767" w:rsidRPr="00BE20A7">
        <w:rPr>
          <w:sz w:val="20"/>
        </w:rPr>
        <w:t xml:space="preserve"> analizados </w:t>
      </w:r>
      <w:r w:rsidR="00030645">
        <w:rPr>
          <w:sz w:val="20"/>
        </w:rPr>
        <w:t>obtienen</w:t>
      </w:r>
      <w:r w:rsidR="007B3767" w:rsidRPr="00BE20A7">
        <w:rPr>
          <w:sz w:val="20"/>
        </w:rPr>
        <w:t xml:space="preserve"> una </w:t>
      </w:r>
      <w:r w:rsidR="00030645">
        <w:rPr>
          <w:sz w:val="20"/>
        </w:rPr>
        <w:t>calificación</w:t>
      </w:r>
      <w:r w:rsidR="007B3767" w:rsidRPr="00BE20A7">
        <w:rPr>
          <w:sz w:val="20"/>
        </w:rPr>
        <w:t xml:space="preserve"> superior a 50 sobre 100 en la evaluación financiera según la metodología detallada en el apartado 2. Un 22% </w:t>
      </w:r>
      <w:r w:rsidR="00030645">
        <w:rPr>
          <w:sz w:val="20"/>
        </w:rPr>
        <w:t>obtienen</w:t>
      </w:r>
      <w:r w:rsidR="007B3767" w:rsidRPr="00BE20A7">
        <w:rPr>
          <w:sz w:val="20"/>
        </w:rPr>
        <w:t xml:space="preserve"> una </w:t>
      </w:r>
      <w:r w:rsidR="00030645">
        <w:rPr>
          <w:sz w:val="20"/>
        </w:rPr>
        <w:t>calificación</w:t>
      </w:r>
      <w:r w:rsidR="007B3767" w:rsidRPr="00BE20A7">
        <w:rPr>
          <w:sz w:val="20"/>
        </w:rPr>
        <w:t xml:space="preserve"> por debajo de 50 puntos sobre 100.</w:t>
      </w:r>
    </w:p>
    <w:p w:rsidR="007B3767" w:rsidRPr="00842404" w:rsidRDefault="006A42A8" w:rsidP="007B3767">
      <w:pPr>
        <w:spacing w:line="360" w:lineRule="auto"/>
        <w:jc w:val="both"/>
        <w:rPr>
          <w:sz w:val="18"/>
          <w:szCs w:val="18"/>
          <w:lang w:val="es-ES_tradnl"/>
        </w:rPr>
      </w:pPr>
      <w:r w:rsidRPr="00842404">
        <w:rPr>
          <w:sz w:val="18"/>
          <w:szCs w:val="18"/>
          <w:lang w:val="es-ES_tradnl"/>
        </w:rPr>
        <w:t>Datos de 2012</w:t>
      </w:r>
    </w:p>
    <w:p w:rsidR="006A42A8" w:rsidRPr="00BE20A7" w:rsidRDefault="006A42A8" w:rsidP="007B3767">
      <w:pPr>
        <w:spacing w:line="360" w:lineRule="auto"/>
        <w:jc w:val="both"/>
        <w:rPr>
          <w:sz w:val="24"/>
          <w:szCs w:val="24"/>
          <w:lang w:val="es-ES_tradnl"/>
        </w:rPr>
      </w:pPr>
    </w:p>
    <w:p w:rsidR="007B3767" w:rsidRDefault="007B3767" w:rsidP="007B3767">
      <w:pPr>
        <w:spacing w:line="360" w:lineRule="auto"/>
        <w:jc w:val="both"/>
        <w:rPr>
          <w:sz w:val="24"/>
          <w:szCs w:val="24"/>
          <w:lang w:val="es-ES_tradnl"/>
        </w:rPr>
      </w:pPr>
      <w:r>
        <w:rPr>
          <w:sz w:val="24"/>
          <w:szCs w:val="24"/>
          <w:lang w:val="es-ES_tradnl"/>
        </w:rPr>
        <w:t>Los</w:t>
      </w:r>
      <w:r w:rsidRPr="00BE20A7">
        <w:rPr>
          <w:sz w:val="24"/>
          <w:szCs w:val="24"/>
          <w:lang w:val="es-ES_tradnl"/>
        </w:rPr>
        <w:t xml:space="preserve"> </w:t>
      </w:r>
      <w:r w:rsidR="00A95742">
        <w:rPr>
          <w:sz w:val="24"/>
          <w:szCs w:val="24"/>
          <w:lang w:val="es-ES_tradnl"/>
        </w:rPr>
        <w:t>CEEs</w:t>
      </w:r>
      <w:r w:rsidRPr="00BE20A7">
        <w:rPr>
          <w:sz w:val="24"/>
          <w:szCs w:val="24"/>
          <w:lang w:val="es-ES_tradnl"/>
        </w:rPr>
        <w:t xml:space="preserve"> muestran</w:t>
      </w:r>
      <w:r>
        <w:rPr>
          <w:sz w:val="24"/>
          <w:szCs w:val="24"/>
          <w:lang w:val="es-ES_tradnl"/>
        </w:rPr>
        <w:t xml:space="preserve">, de acuerdo a la metodología aplicada, una posición financiera relativamente robusta, a pesar del difícil contexto económico </w:t>
      </w:r>
      <w:r w:rsidR="00ED4356">
        <w:rPr>
          <w:sz w:val="24"/>
          <w:szCs w:val="24"/>
          <w:lang w:val="es-ES_tradnl"/>
        </w:rPr>
        <w:t>de</w:t>
      </w:r>
      <w:r w:rsidR="00661818">
        <w:rPr>
          <w:sz w:val="24"/>
          <w:szCs w:val="24"/>
          <w:lang w:val="es-ES_tradnl"/>
        </w:rPr>
        <w:t xml:space="preserve"> los </w:t>
      </w:r>
      <w:r>
        <w:rPr>
          <w:sz w:val="24"/>
          <w:szCs w:val="24"/>
          <w:lang w:val="es-ES_tradnl"/>
        </w:rPr>
        <w:t xml:space="preserve">últimos años. </w:t>
      </w:r>
    </w:p>
    <w:p w:rsidR="007B3767" w:rsidRPr="00BE20A7" w:rsidRDefault="007B3767" w:rsidP="007B3767">
      <w:pPr>
        <w:spacing w:line="360" w:lineRule="auto"/>
        <w:jc w:val="both"/>
        <w:rPr>
          <w:sz w:val="24"/>
          <w:szCs w:val="24"/>
          <w:lang w:val="es-ES_tradnl"/>
        </w:rPr>
      </w:pPr>
    </w:p>
    <w:p w:rsidR="007B3767" w:rsidRPr="00BE20A7" w:rsidRDefault="007B3767" w:rsidP="007B3767">
      <w:pPr>
        <w:spacing w:line="360" w:lineRule="auto"/>
        <w:jc w:val="both"/>
        <w:rPr>
          <w:sz w:val="24"/>
          <w:szCs w:val="24"/>
          <w:lang w:val="es-ES_tradnl"/>
        </w:rPr>
      </w:pPr>
      <w:r w:rsidRPr="00BE20A7">
        <w:rPr>
          <w:sz w:val="24"/>
          <w:szCs w:val="24"/>
          <w:lang w:val="es-ES_tradnl"/>
        </w:rPr>
        <w:t xml:space="preserve">Es importante hacer hincapié en este último punto. Los resultados que se presentan en este informe son positivos en términos absolutos. Sin embargo, resultan </w:t>
      </w:r>
      <w:r w:rsidR="00ED4356">
        <w:rPr>
          <w:sz w:val="24"/>
          <w:szCs w:val="24"/>
          <w:lang w:val="es-ES_tradnl"/>
        </w:rPr>
        <w:t>todavía</w:t>
      </w:r>
      <w:r w:rsidRPr="00BE20A7">
        <w:rPr>
          <w:sz w:val="24"/>
          <w:szCs w:val="24"/>
          <w:lang w:val="es-ES_tradnl"/>
        </w:rPr>
        <w:t xml:space="preserve"> más alentadores si se entienden dentro un contexto de grave crisis. </w:t>
      </w:r>
      <w:r w:rsidR="00ED4356">
        <w:rPr>
          <w:sz w:val="24"/>
          <w:szCs w:val="24"/>
          <w:lang w:val="es-ES_tradnl"/>
        </w:rPr>
        <w:t>U</w:t>
      </w:r>
      <w:r w:rsidRPr="00BE20A7">
        <w:rPr>
          <w:sz w:val="24"/>
          <w:szCs w:val="24"/>
          <w:lang w:val="es-ES_tradnl"/>
        </w:rPr>
        <w:t xml:space="preserve">na holgada mayoría de los </w:t>
      </w:r>
      <w:r w:rsidR="00A95742">
        <w:rPr>
          <w:sz w:val="24"/>
          <w:szCs w:val="24"/>
          <w:lang w:val="es-ES_tradnl"/>
        </w:rPr>
        <w:t>CEEs</w:t>
      </w:r>
      <w:r w:rsidRPr="00BE20A7">
        <w:rPr>
          <w:sz w:val="24"/>
          <w:szCs w:val="24"/>
          <w:lang w:val="es-ES_tradnl"/>
        </w:rPr>
        <w:t xml:space="preserve">—un 78%— </w:t>
      </w:r>
      <w:r>
        <w:rPr>
          <w:sz w:val="24"/>
          <w:szCs w:val="24"/>
          <w:lang w:val="es-ES_tradnl"/>
        </w:rPr>
        <w:t xml:space="preserve">ha obtenido una evaluación que supera los 50 puntos sobre un máximo de cien posibles. </w:t>
      </w:r>
      <w:r w:rsidRPr="00BE20A7">
        <w:rPr>
          <w:sz w:val="24"/>
          <w:szCs w:val="24"/>
          <w:lang w:val="es-ES_tradnl"/>
        </w:rPr>
        <w:t xml:space="preserve"> Los resultados en las áreas de rentabilidad o facturación, dónde, c</w:t>
      </w:r>
      <w:r>
        <w:rPr>
          <w:sz w:val="24"/>
          <w:szCs w:val="24"/>
          <w:lang w:val="es-ES_tradnl"/>
        </w:rPr>
        <w:t>ó</w:t>
      </w:r>
      <w:r w:rsidRPr="00BE20A7">
        <w:rPr>
          <w:sz w:val="24"/>
          <w:szCs w:val="24"/>
          <w:lang w:val="es-ES_tradnl"/>
        </w:rPr>
        <w:t xml:space="preserve">mo se verá más adelante, los </w:t>
      </w:r>
      <w:r w:rsidR="00ED4356">
        <w:rPr>
          <w:sz w:val="24"/>
          <w:szCs w:val="24"/>
          <w:lang w:val="es-ES_tradnl"/>
        </w:rPr>
        <w:t>centros</w:t>
      </w:r>
      <w:r w:rsidRPr="00BE20A7">
        <w:rPr>
          <w:sz w:val="24"/>
          <w:szCs w:val="24"/>
          <w:lang w:val="es-ES_tradnl"/>
        </w:rPr>
        <w:t xml:space="preserve"> muestran </w:t>
      </w:r>
      <w:r>
        <w:rPr>
          <w:sz w:val="24"/>
          <w:szCs w:val="24"/>
          <w:lang w:val="es-ES_tradnl"/>
        </w:rPr>
        <w:t>una posición más débil</w:t>
      </w:r>
      <w:r w:rsidRPr="00BE20A7">
        <w:rPr>
          <w:sz w:val="24"/>
          <w:szCs w:val="24"/>
          <w:lang w:val="es-ES_tradnl"/>
        </w:rPr>
        <w:t xml:space="preserve">, deben ser considerados </w:t>
      </w:r>
      <w:r>
        <w:rPr>
          <w:sz w:val="24"/>
          <w:szCs w:val="24"/>
          <w:lang w:val="es-ES_tradnl"/>
        </w:rPr>
        <w:t xml:space="preserve">teniendo en cuenta </w:t>
      </w:r>
      <w:r w:rsidRPr="00BE20A7">
        <w:rPr>
          <w:sz w:val="24"/>
          <w:szCs w:val="24"/>
          <w:lang w:val="es-ES_tradnl"/>
        </w:rPr>
        <w:t xml:space="preserve">la situación de la economía española en su conjunto durante ese período de tiempo. </w:t>
      </w:r>
    </w:p>
    <w:p w:rsidR="001555F6" w:rsidRDefault="001555F6" w:rsidP="00ED4356">
      <w:pPr>
        <w:spacing w:line="360" w:lineRule="auto"/>
        <w:jc w:val="both"/>
        <w:rPr>
          <w:sz w:val="24"/>
          <w:szCs w:val="24"/>
          <w:lang w:val="es-ES_tradnl"/>
        </w:rPr>
      </w:pPr>
    </w:p>
    <w:p w:rsidR="001555F6" w:rsidRDefault="001555F6" w:rsidP="00ED4356">
      <w:pPr>
        <w:spacing w:line="360" w:lineRule="auto"/>
        <w:jc w:val="both"/>
        <w:rPr>
          <w:sz w:val="24"/>
          <w:szCs w:val="24"/>
          <w:lang w:val="es-ES_tradnl"/>
        </w:rPr>
      </w:pPr>
      <w:r w:rsidRPr="003959C3">
        <w:rPr>
          <w:sz w:val="24"/>
          <w:szCs w:val="24"/>
          <w:lang w:val="es-ES_tradnl"/>
        </w:rPr>
        <w:t>Al anal</w:t>
      </w:r>
      <w:r w:rsidR="00446110">
        <w:rPr>
          <w:sz w:val="24"/>
          <w:szCs w:val="24"/>
          <w:lang w:val="es-ES_tradnl"/>
        </w:rPr>
        <w:t>izar la d</w:t>
      </w:r>
      <w:r w:rsidR="00312ED5">
        <w:rPr>
          <w:sz w:val="24"/>
          <w:szCs w:val="24"/>
          <w:lang w:val="es-ES_tradnl"/>
        </w:rPr>
        <w:t>istribución</w:t>
      </w:r>
      <w:r w:rsidR="00446110">
        <w:rPr>
          <w:sz w:val="24"/>
          <w:szCs w:val="24"/>
          <w:lang w:val="es-ES_tradnl"/>
        </w:rPr>
        <w:t xml:space="preserve"> de las califica</w:t>
      </w:r>
      <w:r w:rsidRPr="003959C3">
        <w:rPr>
          <w:sz w:val="24"/>
          <w:szCs w:val="24"/>
          <w:lang w:val="es-ES_tradnl"/>
        </w:rPr>
        <w:t xml:space="preserve">ciones </w:t>
      </w:r>
      <w:r>
        <w:rPr>
          <w:sz w:val="24"/>
          <w:szCs w:val="24"/>
          <w:lang w:val="es-ES_tradnl"/>
        </w:rPr>
        <w:t>financieras</w:t>
      </w:r>
      <w:r w:rsidRPr="003959C3">
        <w:rPr>
          <w:sz w:val="24"/>
          <w:szCs w:val="24"/>
          <w:lang w:val="es-ES_tradnl"/>
        </w:rPr>
        <w:t xml:space="preserve">, se observa una </w:t>
      </w:r>
      <w:r w:rsidR="00446110">
        <w:rPr>
          <w:sz w:val="24"/>
          <w:szCs w:val="24"/>
          <w:lang w:val="es-ES_tradnl"/>
        </w:rPr>
        <w:t xml:space="preserve">clara </w:t>
      </w:r>
      <w:r>
        <w:rPr>
          <w:sz w:val="24"/>
          <w:szCs w:val="24"/>
          <w:lang w:val="es-ES_tradnl"/>
        </w:rPr>
        <w:t>tendencia hacia puntuaciones elevadas:</w:t>
      </w:r>
    </w:p>
    <w:p w:rsidR="001555F6" w:rsidRDefault="001555F6" w:rsidP="00ED4356">
      <w:pPr>
        <w:spacing w:line="360" w:lineRule="auto"/>
        <w:jc w:val="both"/>
        <w:rPr>
          <w:sz w:val="24"/>
          <w:szCs w:val="24"/>
          <w:lang w:val="es-ES_tradnl"/>
        </w:rPr>
      </w:pPr>
    </w:p>
    <w:p w:rsidR="001555F6" w:rsidRDefault="001555F6" w:rsidP="001555F6">
      <w:pPr>
        <w:spacing w:line="360" w:lineRule="auto"/>
        <w:jc w:val="center"/>
        <w:rPr>
          <w:sz w:val="24"/>
          <w:szCs w:val="24"/>
          <w:lang w:val="es-ES_tradnl"/>
        </w:rPr>
      </w:pPr>
      <w:r>
        <w:rPr>
          <w:noProof/>
          <w:lang w:eastAsia="es-ES"/>
        </w:rPr>
        <w:drawing>
          <wp:inline distT="0" distB="0" distL="0" distR="0">
            <wp:extent cx="4124325" cy="25812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55F6" w:rsidRPr="00BE20A7" w:rsidRDefault="001555F6" w:rsidP="001555F6">
      <w:pPr>
        <w:autoSpaceDE w:val="0"/>
        <w:autoSpaceDN w:val="0"/>
        <w:spacing w:line="360" w:lineRule="auto"/>
        <w:jc w:val="both"/>
        <w:rPr>
          <w:sz w:val="20"/>
        </w:rPr>
      </w:pPr>
      <w:r w:rsidRPr="00BE20A7">
        <w:rPr>
          <w:sz w:val="20"/>
        </w:rPr>
        <w:t>Fuente: Elaboración propia</w:t>
      </w:r>
    </w:p>
    <w:p w:rsidR="00CD51EA" w:rsidRDefault="001555F6" w:rsidP="000D19EB">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 que obtienen una determinada calificación</w:t>
      </w:r>
      <w:r w:rsidRPr="00BE20A7">
        <w:rPr>
          <w:sz w:val="20"/>
        </w:rPr>
        <w:t xml:space="preserve">. Eje horizontal, </w:t>
      </w:r>
      <w:r>
        <w:rPr>
          <w:sz w:val="20"/>
        </w:rPr>
        <w:t>rangos de calificaciones.</w:t>
      </w:r>
    </w:p>
    <w:p w:rsidR="000D19EB" w:rsidRDefault="000D19EB" w:rsidP="000D19EB">
      <w:pPr>
        <w:spacing w:line="360" w:lineRule="auto"/>
        <w:jc w:val="both"/>
        <w:rPr>
          <w:sz w:val="20"/>
        </w:rPr>
      </w:pPr>
      <w:r>
        <w:rPr>
          <w:sz w:val="20"/>
        </w:rPr>
        <w:t>Datos de 2012</w:t>
      </w:r>
    </w:p>
    <w:p w:rsidR="00CD51EA" w:rsidRDefault="00CD51EA" w:rsidP="00CD51EA">
      <w:pPr>
        <w:spacing w:line="360" w:lineRule="auto"/>
        <w:jc w:val="both"/>
        <w:rPr>
          <w:sz w:val="20"/>
        </w:rPr>
      </w:pPr>
    </w:p>
    <w:p w:rsidR="00CD51EA" w:rsidRDefault="00CD51EA" w:rsidP="00CD51EA">
      <w:pPr>
        <w:spacing w:line="360" w:lineRule="auto"/>
        <w:jc w:val="both"/>
        <w:rPr>
          <w:sz w:val="24"/>
          <w:szCs w:val="24"/>
          <w:lang w:val="es-ES_tradnl"/>
        </w:rPr>
      </w:pPr>
      <w:r w:rsidRPr="00BE20A7">
        <w:rPr>
          <w:sz w:val="24"/>
          <w:szCs w:val="24"/>
          <w:lang w:val="es-ES_tradnl"/>
        </w:rPr>
        <w:t xml:space="preserve">Si </w:t>
      </w:r>
      <w:r>
        <w:rPr>
          <w:sz w:val="24"/>
          <w:szCs w:val="24"/>
          <w:lang w:val="es-ES_tradnl"/>
        </w:rPr>
        <w:t xml:space="preserve">descendemos un nivel en el </w:t>
      </w:r>
      <w:r w:rsidRPr="00BE20A7">
        <w:rPr>
          <w:sz w:val="24"/>
          <w:szCs w:val="24"/>
          <w:lang w:val="es-ES_tradnl"/>
        </w:rPr>
        <w:t>análisis</w:t>
      </w:r>
      <w:r>
        <w:rPr>
          <w:sz w:val="24"/>
          <w:szCs w:val="24"/>
          <w:lang w:val="es-ES_tradnl"/>
        </w:rPr>
        <w:t>,</w:t>
      </w:r>
      <w:r w:rsidRPr="00BE20A7">
        <w:rPr>
          <w:sz w:val="24"/>
          <w:szCs w:val="24"/>
          <w:lang w:val="es-ES_tradnl"/>
        </w:rPr>
        <w:t xml:space="preserve"> según el tipo de estructura de la propiedad, </w:t>
      </w:r>
      <w:r>
        <w:rPr>
          <w:sz w:val="24"/>
          <w:szCs w:val="24"/>
          <w:lang w:val="es-ES_tradnl"/>
        </w:rPr>
        <w:t xml:space="preserve">encontramos que </w:t>
      </w:r>
      <w:r w:rsidRPr="00BE20A7">
        <w:rPr>
          <w:sz w:val="24"/>
          <w:szCs w:val="24"/>
          <w:lang w:val="es-ES_tradnl"/>
        </w:rPr>
        <w:t xml:space="preserve">un 88% de los </w:t>
      </w:r>
      <w:r>
        <w:rPr>
          <w:sz w:val="24"/>
          <w:szCs w:val="24"/>
          <w:lang w:val="es-ES_tradnl"/>
        </w:rPr>
        <w:t>centros</w:t>
      </w:r>
      <w:r w:rsidRPr="00BE20A7">
        <w:rPr>
          <w:sz w:val="24"/>
          <w:szCs w:val="24"/>
          <w:lang w:val="es-ES_tradnl"/>
        </w:rPr>
        <w:t xml:space="preserve"> de iniciativa social </w:t>
      </w:r>
      <w:r>
        <w:rPr>
          <w:sz w:val="24"/>
          <w:szCs w:val="24"/>
          <w:lang w:val="es-ES_tradnl"/>
        </w:rPr>
        <w:t xml:space="preserve">obtiene más de </w:t>
      </w:r>
      <w:r w:rsidRPr="00BE20A7">
        <w:rPr>
          <w:sz w:val="24"/>
          <w:szCs w:val="24"/>
          <w:lang w:val="es-ES_tradnl"/>
        </w:rPr>
        <w:t xml:space="preserve">50 puntos sobre 100 </w:t>
      </w:r>
      <w:r>
        <w:rPr>
          <w:sz w:val="24"/>
          <w:szCs w:val="24"/>
          <w:lang w:val="es-ES_tradnl"/>
        </w:rPr>
        <w:t>en este ámbito. En cuanto a los</w:t>
      </w:r>
      <w:r w:rsidRPr="00BE20A7">
        <w:rPr>
          <w:sz w:val="24"/>
          <w:szCs w:val="24"/>
          <w:lang w:val="es-ES_tradnl"/>
        </w:rPr>
        <w:t xml:space="preserve"> de </w:t>
      </w:r>
      <w:r>
        <w:rPr>
          <w:sz w:val="24"/>
          <w:szCs w:val="24"/>
          <w:lang w:val="es-ES_tradnl"/>
        </w:rPr>
        <w:t>iniciativa empresarial</w:t>
      </w:r>
      <w:r w:rsidRPr="00BE20A7">
        <w:rPr>
          <w:sz w:val="24"/>
          <w:szCs w:val="24"/>
          <w:lang w:val="es-ES_tradnl"/>
        </w:rPr>
        <w:t xml:space="preserve">, el porcentaje con </w:t>
      </w:r>
      <w:r>
        <w:rPr>
          <w:sz w:val="24"/>
          <w:szCs w:val="24"/>
          <w:lang w:val="es-ES_tradnl"/>
        </w:rPr>
        <w:t>calificación</w:t>
      </w:r>
      <w:r w:rsidRPr="00BE20A7">
        <w:rPr>
          <w:sz w:val="24"/>
          <w:szCs w:val="24"/>
          <w:lang w:val="es-ES_tradnl"/>
        </w:rPr>
        <w:t xml:space="preserve"> financiera por encima de los 50 puntos es ligeramente inferior pero sigue siendo muy elevado, un 72%. </w:t>
      </w:r>
    </w:p>
    <w:p w:rsidR="00CD51EA" w:rsidRPr="00CD51EA" w:rsidRDefault="00CD51EA" w:rsidP="00CD51EA">
      <w:pPr>
        <w:spacing w:line="360" w:lineRule="auto"/>
        <w:jc w:val="both"/>
        <w:rPr>
          <w:sz w:val="20"/>
          <w:lang w:val="es-ES_tradnl"/>
        </w:rPr>
      </w:pPr>
    </w:p>
    <w:p w:rsidR="007B3767" w:rsidRPr="00BE20A7" w:rsidRDefault="005108D2" w:rsidP="00842404">
      <w:pPr>
        <w:spacing w:before="360" w:line="360" w:lineRule="auto"/>
        <w:ind w:left="993"/>
      </w:pPr>
      <w:r w:rsidRPr="005108D2">
        <w:rPr>
          <w:noProof/>
          <w:lang w:eastAsia="es-ES"/>
        </w:rPr>
        <w:t xml:space="preserve"> </w:t>
      </w:r>
      <w:r>
        <w:rPr>
          <w:noProof/>
          <w:lang w:eastAsia="es-ES"/>
        </w:rPr>
        <w:drawing>
          <wp:inline distT="0" distB="0" distL="0" distR="0">
            <wp:extent cx="4133850" cy="1905001"/>
            <wp:effectExtent l="0" t="0" r="0" b="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B3767" w:rsidRPr="00BE20A7" w:rsidRDefault="007B3767" w:rsidP="007B3767">
      <w:pPr>
        <w:spacing w:before="360" w:line="360" w:lineRule="auto"/>
      </w:pPr>
      <w:r w:rsidRPr="00BE20A7">
        <w:rPr>
          <w:sz w:val="20"/>
          <w:lang w:val="es-ES_tradnl"/>
        </w:rPr>
        <w:t>Fuente: Elaboración propia</w:t>
      </w:r>
    </w:p>
    <w:p w:rsidR="007B3767" w:rsidRDefault="007751C0" w:rsidP="00730902">
      <w:pPr>
        <w:pBdr>
          <w:bottom w:val="single" w:sz="4" w:space="1" w:color="auto"/>
        </w:pBdr>
        <w:autoSpaceDE w:val="0"/>
        <w:autoSpaceDN w:val="0"/>
        <w:spacing w:line="360" w:lineRule="auto"/>
        <w:jc w:val="both"/>
        <w:rPr>
          <w:sz w:val="20"/>
          <w:lang w:val="es-ES_tradnl"/>
        </w:rPr>
      </w:pPr>
      <w:r>
        <w:rPr>
          <w:sz w:val="20"/>
          <w:lang w:val="es-ES_tradnl"/>
        </w:rPr>
        <w:t xml:space="preserve">Nota </w:t>
      </w:r>
      <w:r w:rsidR="007B3767" w:rsidRPr="00BE20A7">
        <w:rPr>
          <w:sz w:val="20"/>
          <w:lang w:val="es-ES_tradnl"/>
        </w:rPr>
        <w:t>explicativa de la gráfica: Eje vertical: número medio de empleados totales por centro. Eje horizontal: estructura de la propiedad</w:t>
      </w:r>
    </w:p>
    <w:p w:rsidR="00730902" w:rsidRDefault="00730902" w:rsidP="00730902">
      <w:pPr>
        <w:autoSpaceDE w:val="0"/>
        <w:autoSpaceDN w:val="0"/>
        <w:spacing w:line="360" w:lineRule="auto"/>
        <w:jc w:val="both"/>
        <w:rPr>
          <w:sz w:val="20"/>
          <w:lang w:val="es-ES_tradnl"/>
        </w:rPr>
      </w:pPr>
      <w:r>
        <w:rPr>
          <w:sz w:val="20"/>
          <w:lang w:val="es-ES_tradnl"/>
        </w:rPr>
        <w:t>Datos de 2013</w:t>
      </w:r>
    </w:p>
    <w:p w:rsidR="007B3767" w:rsidRPr="00BE20A7" w:rsidRDefault="00B470D7" w:rsidP="00842404">
      <w:pPr>
        <w:spacing w:before="360" w:line="360" w:lineRule="auto"/>
        <w:ind w:left="851"/>
      </w:pPr>
      <w:r w:rsidRPr="00B470D7">
        <w:rPr>
          <w:noProof/>
          <w:lang w:eastAsia="es-ES"/>
        </w:rPr>
        <w:t xml:space="preserve"> </w:t>
      </w:r>
      <w:r w:rsidR="00141941">
        <w:rPr>
          <w:noProof/>
          <w:lang w:eastAsia="es-ES"/>
        </w:rPr>
        <w:drawing>
          <wp:inline distT="0" distB="0" distL="0" distR="0">
            <wp:extent cx="3962400" cy="1990725"/>
            <wp:effectExtent l="0" t="0" r="0" b="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3767" w:rsidRPr="005D74B6" w:rsidRDefault="007B3767" w:rsidP="007B3767">
      <w:pPr>
        <w:spacing w:before="360" w:line="360" w:lineRule="auto"/>
      </w:pPr>
      <w:r w:rsidRPr="005D74B6">
        <w:rPr>
          <w:sz w:val="20"/>
          <w:lang w:val="es-ES_tradnl"/>
        </w:rPr>
        <w:t>Fuente: Elaboración propia</w:t>
      </w:r>
    </w:p>
    <w:p w:rsidR="007B3767" w:rsidRDefault="001555F6" w:rsidP="00730902">
      <w:pPr>
        <w:pBdr>
          <w:bottom w:val="single" w:sz="4" w:space="1" w:color="auto"/>
        </w:pBdr>
        <w:autoSpaceDE w:val="0"/>
        <w:autoSpaceDN w:val="0"/>
        <w:spacing w:line="360" w:lineRule="auto"/>
        <w:jc w:val="both"/>
        <w:rPr>
          <w:sz w:val="20"/>
          <w:lang w:val="es-ES_tradnl"/>
        </w:rPr>
      </w:pPr>
      <w:r w:rsidRPr="005D74B6">
        <w:rPr>
          <w:sz w:val="20"/>
          <w:lang w:val="es-ES_tradnl"/>
        </w:rPr>
        <w:t>Nota</w:t>
      </w:r>
      <w:r w:rsidR="007751C0" w:rsidRPr="005D74B6">
        <w:rPr>
          <w:sz w:val="20"/>
          <w:lang w:val="es-ES_tradnl"/>
        </w:rPr>
        <w:t xml:space="preserve"> </w:t>
      </w:r>
      <w:r w:rsidR="007B3767" w:rsidRPr="005D74B6">
        <w:rPr>
          <w:sz w:val="20"/>
          <w:lang w:val="es-ES_tradnl"/>
        </w:rPr>
        <w:t>explicativa de la gráfica: Eje vertical: número medio de años de actividad por centro a fecha de 2013. Eje horizontal: estructura de la propiedad</w:t>
      </w:r>
      <w:r w:rsidR="006B7028">
        <w:rPr>
          <w:sz w:val="20"/>
          <w:lang w:val="es-ES_tradnl"/>
        </w:rPr>
        <w:t>.</w:t>
      </w:r>
    </w:p>
    <w:p w:rsidR="00730902" w:rsidRPr="00046EC0" w:rsidRDefault="00730902" w:rsidP="00730902">
      <w:pPr>
        <w:autoSpaceDE w:val="0"/>
        <w:autoSpaceDN w:val="0"/>
        <w:spacing w:line="360" w:lineRule="auto"/>
        <w:jc w:val="both"/>
        <w:rPr>
          <w:sz w:val="20"/>
          <w:lang w:val="es-ES_tradnl"/>
        </w:rPr>
      </w:pPr>
      <w:r>
        <w:rPr>
          <w:sz w:val="20"/>
          <w:lang w:val="es-ES_tradnl"/>
        </w:rPr>
        <w:t>Datos de 2013</w:t>
      </w:r>
    </w:p>
    <w:p w:rsidR="00046EC0" w:rsidRDefault="00046EC0" w:rsidP="00046EC0">
      <w:pPr>
        <w:pStyle w:val="Ttulo3"/>
        <w:rPr>
          <w:lang w:val="es-ES_tradnl"/>
        </w:rPr>
      </w:pPr>
      <w:bookmarkStart w:id="228" w:name="_Toc410916873"/>
      <w:r w:rsidRPr="00046EC0">
        <w:rPr>
          <w:lang w:val="es-ES_tradnl"/>
        </w:rPr>
        <w:t>Análisis de indicadores financieros</w:t>
      </w:r>
      <w:bookmarkEnd w:id="228"/>
    </w:p>
    <w:p w:rsidR="00046EC0" w:rsidRPr="00046EC0" w:rsidRDefault="00046EC0" w:rsidP="00046EC0">
      <w:pPr>
        <w:pStyle w:val="Textoindependiente"/>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2"/>
        <w:gridCol w:w="4253"/>
      </w:tblGrid>
      <w:tr w:rsidR="00ED4356" w:rsidTr="00ED4356">
        <w:tc>
          <w:tcPr>
            <w:tcW w:w="4242" w:type="dxa"/>
          </w:tcPr>
          <w:p w:rsidR="00ED4356" w:rsidRPr="00046EC0" w:rsidRDefault="00ED4356" w:rsidP="00ED4356">
            <w:pPr>
              <w:tabs>
                <w:tab w:val="left" w:pos="5103"/>
                <w:tab w:val="left" w:pos="5529"/>
              </w:tabs>
              <w:spacing w:line="360" w:lineRule="auto"/>
              <w:jc w:val="both"/>
              <w:rPr>
                <w:sz w:val="24"/>
                <w:szCs w:val="24"/>
                <w:lang w:val="es-ES_tradnl"/>
              </w:rPr>
            </w:pPr>
            <w:r w:rsidRPr="00046EC0">
              <w:rPr>
                <w:sz w:val="24"/>
                <w:szCs w:val="24"/>
                <w:lang w:val="es-ES_tradnl"/>
              </w:rPr>
              <w:t>Liquidez</w:t>
            </w:r>
          </w:p>
        </w:tc>
        <w:tc>
          <w:tcPr>
            <w:tcW w:w="4253" w:type="dxa"/>
          </w:tcPr>
          <w:p w:rsidR="00ED4356" w:rsidRPr="000E6836" w:rsidRDefault="00ED4356" w:rsidP="00ED435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Pr>
                <w:sz w:val="18"/>
                <w:szCs w:val="18"/>
                <w:lang w:val="es-ES_tradnl"/>
              </w:rPr>
              <w:t>CEEs</w:t>
            </w:r>
            <w:r w:rsidRPr="00046EC0">
              <w:rPr>
                <w:sz w:val="18"/>
                <w:szCs w:val="18"/>
                <w:lang w:val="es-ES_tradnl"/>
              </w:rPr>
              <w:t xml:space="preserve"> muestran </w:t>
            </w:r>
            <w:r w:rsidRPr="000E6836">
              <w:rPr>
                <w:sz w:val="18"/>
                <w:szCs w:val="18"/>
                <w:lang w:val="es-ES_tradnl"/>
              </w:rPr>
              <w:t>un ratio de liquidez de 2,47</w:t>
            </w:r>
          </w:p>
        </w:tc>
      </w:tr>
      <w:tr w:rsidR="00ED4356" w:rsidTr="00ED4356">
        <w:tc>
          <w:tcPr>
            <w:tcW w:w="4242" w:type="dxa"/>
          </w:tcPr>
          <w:p w:rsidR="00ED4356" w:rsidRPr="00046EC0" w:rsidRDefault="00ED4356" w:rsidP="00ED4356">
            <w:pPr>
              <w:tabs>
                <w:tab w:val="left" w:pos="5103"/>
                <w:tab w:val="left" w:pos="5529"/>
              </w:tabs>
              <w:spacing w:line="360" w:lineRule="auto"/>
              <w:jc w:val="both"/>
              <w:rPr>
                <w:sz w:val="24"/>
                <w:szCs w:val="24"/>
                <w:lang w:val="es-ES_tradnl"/>
              </w:rPr>
            </w:pPr>
            <w:r w:rsidRPr="00046EC0">
              <w:rPr>
                <w:sz w:val="24"/>
                <w:szCs w:val="24"/>
                <w:lang w:val="es-ES_tradnl"/>
              </w:rPr>
              <w:t>Solvencia</w:t>
            </w:r>
          </w:p>
        </w:tc>
        <w:tc>
          <w:tcPr>
            <w:tcW w:w="4253" w:type="dxa"/>
          </w:tcPr>
          <w:p w:rsidR="00ED4356" w:rsidRPr="000E6836" w:rsidRDefault="00ED4356" w:rsidP="00ED435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Pr>
                <w:sz w:val="18"/>
                <w:szCs w:val="18"/>
                <w:lang w:val="es-ES_tradnl"/>
              </w:rPr>
              <w:t>CEEs</w:t>
            </w:r>
            <w:r w:rsidRPr="00046EC0">
              <w:rPr>
                <w:sz w:val="18"/>
                <w:szCs w:val="18"/>
                <w:lang w:val="es-ES_tradnl"/>
              </w:rPr>
              <w:t xml:space="preserve"> muestran </w:t>
            </w:r>
            <w:r w:rsidRPr="000E6836">
              <w:rPr>
                <w:sz w:val="18"/>
                <w:szCs w:val="18"/>
                <w:lang w:val="es-ES_tradnl"/>
              </w:rPr>
              <w:t>un ratio de solvencia de 3,28</w:t>
            </w:r>
          </w:p>
        </w:tc>
      </w:tr>
      <w:tr w:rsidR="00ED4356" w:rsidTr="00ED4356">
        <w:tc>
          <w:tcPr>
            <w:tcW w:w="4242" w:type="dxa"/>
          </w:tcPr>
          <w:p w:rsidR="00ED4356" w:rsidRPr="00046EC0" w:rsidRDefault="00ED4356" w:rsidP="00ED4356">
            <w:pPr>
              <w:tabs>
                <w:tab w:val="left" w:pos="5103"/>
                <w:tab w:val="left" w:pos="5529"/>
              </w:tabs>
              <w:spacing w:line="360" w:lineRule="auto"/>
              <w:jc w:val="both"/>
              <w:rPr>
                <w:sz w:val="24"/>
                <w:szCs w:val="24"/>
                <w:lang w:val="es-ES_tradnl"/>
              </w:rPr>
            </w:pPr>
            <w:r w:rsidRPr="00046EC0">
              <w:rPr>
                <w:sz w:val="24"/>
                <w:szCs w:val="24"/>
                <w:lang w:val="es-ES_tradnl"/>
              </w:rPr>
              <w:t>Endeudamiento</w:t>
            </w:r>
          </w:p>
        </w:tc>
        <w:tc>
          <w:tcPr>
            <w:tcW w:w="4253" w:type="dxa"/>
          </w:tcPr>
          <w:p w:rsidR="00ED4356" w:rsidRPr="006B560E" w:rsidRDefault="00ED4356" w:rsidP="00ED4356">
            <w:pPr>
              <w:tabs>
                <w:tab w:val="left" w:pos="5103"/>
                <w:tab w:val="left" w:pos="5529"/>
              </w:tabs>
              <w:spacing w:line="360" w:lineRule="auto"/>
              <w:jc w:val="both"/>
              <w:rPr>
                <w:sz w:val="18"/>
                <w:szCs w:val="18"/>
                <w:lang w:val="es-ES_tradnl"/>
              </w:rPr>
            </w:pPr>
            <w:r>
              <w:rPr>
                <w:sz w:val="18"/>
                <w:szCs w:val="18"/>
                <w:lang w:val="es-ES_tradnl"/>
              </w:rPr>
              <w:t xml:space="preserve">95 de ellos </w:t>
            </w:r>
            <w:r w:rsidRPr="00884364">
              <w:rPr>
                <w:sz w:val="18"/>
                <w:szCs w:val="18"/>
                <w:lang w:val="es-ES_tradnl"/>
              </w:rPr>
              <w:t xml:space="preserve">tienen </w:t>
            </w:r>
            <w:r w:rsidRPr="000E6836">
              <w:rPr>
                <w:sz w:val="18"/>
                <w:szCs w:val="18"/>
                <w:lang w:val="es-ES_tradnl"/>
              </w:rPr>
              <w:t>un ratio de endeudamiento inferior a 0,4.</w:t>
            </w:r>
          </w:p>
        </w:tc>
      </w:tr>
      <w:tr w:rsidR="00ED4356" w:rsidTr="00ED4356">
        <w:tc>
          <w:tcPr>
            <w:tcW w:w="4242" w:type="dxa"/>
          </w:tcPr>
          <w:p w:rsidR="00ED4356" w:rsidRPr="00046EC0" w:rsidRDefault="00ED4356" w:rsidP="00ED4356">
            <w:pPr>
              <w:tabs>
                <w:tab w:val="left" w:pos="5103"/>
                <w:tab w:val="left" w:pos="5529"/>
              </w:tabs>
              <w:spacing w:line="360" w:lineRule="auto"/>
              <w:jc w:val="both"/>
              <w:rPr>
                <w:sz w:val="24"/>
                <w:szCs w:val="24"/>
                <w:lang w:val="es-ES_tradnl"/>
              </w:rPr>
            </w:pPr>
            <w:r w:rsidRPr="00046EC0">
              <w:rPr>
                <w:sz w:val="24"/>
                <w:szCs w:val="24"/>
                <w:lang w:val="es-ES_tradnl"/>
              </w:rPr>
              <w:t>Rentabilidad</w:t>
            </w:r>
          </w:p>
        </w:tc>
        <w:tc>
          <w:tcPr>
            <w:tcW w:w="4253" w:type="dxa"/>
          </w:tcPr>
          <w:p w:rsidR="00ED4356" w:rsidRPr="00046EC0" w:rsidRDefault="00ED4356" w:rsidP="00ED435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Pr>
                <w:sz w:val="18"/>
                <w:szCs w:val="18"/>
                <w:lang w:val="es-ES_tradnl"/>
              </w:rPr>
              <w:t>CEEs</w:t>
            </w:r>
            <w:r w:rsidRPr="00046EC0">
              <w:rPr>
                <w:sz w:val="18"/>
                <w:szCs w:val="18"/>
                <w:lang w:val="es-ES_tradnl"/>
              </w:rPr>
              <w:t xml:space="preserve"> muestran un bajo desempeño</w:t>
            </w:r>
            <w:r>
              <w:rPr>
                <w:sz w:val="18"/>
                <w:szCs w:val="18"/>
                <w:lang w:val="es-ES_tradnl"/>
              </w:rPr>
              <w:t xml:space="preserve"> en este ámbito.</w:t>
            </w:r>
          </w:p>
        </w:tc>
      </w:tr>
      <w:tr w:rsidR="00ED4356" w:rsidTr="00ED4356">
        <w:tc>
          <w:tcPr>
            <w:tcW w:w="4242" w:type="dxa"/>
          </w:tcPr>
          <w:p w:rsidR="00ED4356" w:rsidRPr="00046EC0" w:rsidRDefault="00ED4356" w:rsidP="00ED4356">
            <w:pPr>
              <w:tabs>
                <w:tab w:val="left" w:pos="5103"/>
                <w:tab w:val="left" w:pos="5529"/>
              </w:tabs>
              <w:spacing w:line="360" w:lineRule="auto"/>
              <w:jc w:val="both"/>
              <w:rPr>
                <w:sz w:val="24"/>
                <w:szCs w:val="24"/>
                <w:lang w:val="es-ES_tradnl"/>
              </w:rPr>
            </w:pPr>
            <w:r w:rsidRPr="00046EC0">
              <w:rPr>
                <w:sz w:val="24"/>
                <w:szCs w:val="24"/>
                <w:lang w:val="es-ES_tradnl"/>
              </w:rPr>
              <w:t>Incidencias</w:t>
            </w:r>
          </w:p>
        </w:tc>
        <w:tc>
          <w:tcPr>
            <w:tcW w:w="4253" w:type="dxa"/>
          </w:tcPr>
          <w:p w:rsidR="00ED4356" w:rsidRPr="000E6836" w:rsidRDefault="00ED4356" w:rsidP="00ED4356">
            <w:pPr>
              <w:tabs>
                <w:tab w:val="left" w:pos="5103"/>
                <w:tab w:val="left" w:pos="5529"/>
              </w:tabs>
              <w:spacing w:line="360" w:lineRule="auto"/>
              <w:jc w:val="both"/>
              <w:rPr>
                <w:sz w:val="18"/>
                <w:szCs w:val="18"/>
                <w:lang w:val="es-ES_tradnl"/>
              </w:rPr>
            </w:pPr>
            <w:r w:rsidRPr="00046EC0">
              <w:rPr>
                <w:sz w:val="18"/>
                <w:szCs w:val="18"/>
                <w:lang w:val="es-ES_tradnl"/>
              </w:rPr>
              <w:t xml:space="preserve">Los </w:t>
            </w:r>
            <w:r>
              <w:rPr>
                <w:sz w:val="18"/>
                <w:szCs w:val="18"/>
                <w:lang w:val="es-ES_tradnl"/>
              </w:rPr>
              <w:t>CEEs</w:t>
            </w:r>
            <w:r w:rsidRPr="00046EC0">
              <w:rPr>
                <w:sz w:val="18"/>
                <w:szCs w:val="18"/>
                <w:lang w:val="es-ES_tradnl"/>
              </w:rPr>
              <w:t xml:space="preserve"> muestran un alto desempeño</w:t>
            </w:r>
            <w:r>
              <w:rPr>
                <w:sz w:val="18"/>
                <w:szCs w:val="18"/>
                <w:lang w:val="es-ES_tradnl"/>
              </w:rPr>
              <w:t xml:space="preserve">, reportando, de media, incidencias </w:t>
            </w:r>
            <w:r w:rsidRPr="000E6836">
              <w:rPr>
                <w:sz w:val="18"/>
                <w:szCs w:val="18"/>
                <w:lang w:val="es-ES_tradnl"/>
              </w:rPr>
              <w:t>nulas o irrelevantes</w:t>
            </w:r>
          </w:p>
        </w:tc>
      </w:tr>
      <w:tr w:rsidR="00ED4356" w:rsidTr="00ED4356">
        <w:tc>
          <w:tcPr>
            <w:tcW w:w="4242" w:type="dxa"/>
          </w:tcPr>
          <w:p w:rsidR="00ED4356" w:rsidRPr="00046EC0" w:rsidRDefault="00ED4356" w:rsidP="00ED4356">
            <w:pPr>
              <w:tabs>
                <w:tab w:val="left" w:pos="5103"/>
                <w:tab w:val="left" w:pos="5529"/>
              </w:tabs>
              <w:spacing w:line="360" w:lineRule="auto"/>
              <w:jc w:val="both"/>
              <w:rPr>
                <w:sz w:val="24"/>
                <w:szCs w:val="24"/>
                <w:lang w:val="es-ES_tradnl"/>
              </w:rPr>
            </w:pPr>
            <w:r w:rsidRPr="00046EC0">
              <w:rPr>
                <w:sz w:val="24"/>
                <w:szCs w:val="24"/>
                <w:lang w:val="es-ES_tradnl"/>
              </w:rPr>
              <w:t>Antigüedad</w:t>
            </w:r>
          </w:p>
        </w:tc>
        <w:tc>
          <w:tcPr>
            <w:tcW w:w="4253" w:type="dxa"/>
          </w:tcPr>
          <w:p w:rsidR="00ED4356" w:rsidRPr="00046EC0" w:rsidRDefault="00ED4356" w:rsidP="00ED4356">
            <w:pPr>
              <w:tabs>
                <w:tab w:val="left" w:pos="5103"/>
                <w:tab w:val="left" w:pos="5529"/>
              </w:tabs>
              <w:spacing w:line="360" w:lineRule="auto"/>
              <w:jc w:val="both"/>
              <w:rPr>
                <w:sz w:val="18"/>
                <w:szCs w:val="18"/>
                <w:lang w:val="es-ES_tradnl"/>
              </w:rPr>
            </w:pPr>
            <w:r w:rsidRPr="000E6836">
              <w:rPr>
                <w:sz w:val="18"/>
                <w:szCs w:val="18"/>
                <w:lang w:val="es-ES_tradnl"/>
              </w:rPr>
              <w:t xml:space="preserve">10 años </w:t>
            </w:r>
            <w:r w:rsidRPr="00046EC0">
              <w:rPr>
                <w:sz w:val="18"/>
                <w:szCs w:val="18"/>
                <w:lang w:val="es-ES_tradnl"/>
              </w:rPr>
              <w:t>de antigüedad media</w:t>
            </w:r>
          </w:p>
        </w:tc>
      </w:tr>
      <w:tr w:rsidR="00ED4356" w:rsidTr="00ED4356">
        <w:tc>
          <w:tcPr>
            <w:tcW w:w="4242" w:type="dxa"/>
          </w:tcPr>
          <w:p w:rsidR="00ED4356" w:rsidRPr="00046EC0" w:rsidRDefault="00ED4356" w:rsidP="00ED4356">
            <w:pPr>
              <w:tabs>
                <w:tab w:val="left" w:pos="5103"/>
                <w:tab w:val="left" w:pos="5529"/>
              </w:tabs>
              <w:spacing w:line="360" w:lineRule="auto"/>
              <w:jc w:val="both"/>
              <w:rPr>
                <w:sz w:val="24"/>
                <w:szCs w:val="24"/>
                <w:lang w:val="es-ES_tradnl"/>
              </w:rPr>
            </w:pPr>
            <w:r w:rsidRPr="00046EC0">
              <w:rPr>
                <w:sz w:val="24"/>
                <w:szCs w:val="24"/>
                <w:lang w:val="es-ES_tradnl"/>
              </w:rPr>
              <w:t>Facturación Media por Empleado</w:t>
            </w:r>
          </w:p>
        </w:tc>
        <w:tc>
          <w:tcPr>
            <w:tcW w:w="4253" w:type="dxa"/>
          </w:tcPr>
          <w:p w:rsidR="00ED4356" w:rsidRPr="000E6836" w:rsidRDefault="00ED4356" w:rsidP="00ED4356">
            <w:pPr>
              <w:tabs>
                <w:tab w:val="left" w:pos="5103"/>
                <w:tab w:val="left" w:pos="5529"/>
              </w:tabs>
              <w:spacing w:line="360" w:lineRule="auto"/>
              <w:jc w:val="both"/>
              <w:rPr>
                <w:sz w:val="18"/>
                <w:szCs w:val="18"/>
                <w:lang w:val="es-ES_tradnl"/>
              </w:rPr>
            </w:pPr>
            <w:r w:rsidRPr="000E6836">
              <w:rPr>
                <w:sz w:val="18"/>
                <w:szCs w:val="18"/>
                <w:lang w:val="es-ES_tradnl"/>
              </w:rPr>
              <w:t xml:space="preserve">86 CEEs </w:t>
            </w:r>
            <w:r w:rsidRPr="00E6523B">
              <w:rPr>
                <w:sz w:val="18"/>
                <w:szCs w:val="18"/>
                <w:lang w:val="es-ES_tradnl"/>
              </w:rPr>
              <w:t>consiguen</w:t>
            </w:r>
            <w:r w:rsidRPr="000E6836">
              <w:rPr>
                <w:sz w:val="18"/>
                <w:szCs w:val="18"/>
                <w:lang w:val="es-ES_tradnl"/>
              </w:rPr>
              <w:t xml:space="preserve"> </w:t>
            </w:r>
            <w:r>
              <w:rPr>
                <w:sz w:val="18"/>
                <w:szCs w:val="18"/>
                <w:lang w:val="es-ES_tradnl"/>
              </w:rPr>
              <w:t>una</w:t>
            </w:r>
            <w:r w:rsidRPr="00046EC0">
              <w:rPr>
                <w:sz w:val="18"/>
                <w:szCs w:val="18"/>
                <w:lang w:val="es-ES_tradnl"/>
              </w:rPr>
              <w:t xml:space="preserve"> facturación </w:t>
            </w:r>
            <w:r>
              <w:rPr>
                <w:sz w:val="18"/>
                <w:szCs w:val="18"/>
                <w:lang w:val="es-ES_tradnl"/>
              </w:rPr>
              <w:t>media por empleado igual o superior 20.000 euros</w:t>
            </w:r>
          </w:p>
        </w:tc>
      </w:tr>
    </w:tbl>
    <w:p w:rsidR="00D96504" w:rsidRDefault="00D96504" w:rsidP="007B3767">
      <w:pPr>
        <w:spacing w:line="360" w:lineRule="auto"/>
        <w:jc w:val="both"/>
        <w:rPr>
          <w:sz w:val="24"/>
          <w:szCs w:val="24"/>
          <w:lang w:val="es-ES_tradnl"/>
        </w:rPr>
      </w:pPr>
    </w:p>
    <w:p w:rsidR="00ED4356" w:rsidRDefault="007B3767" w:rsidP="007B3767">
      <w:pPr>
        <w:spacing w:line="360" w:lineRule="auto"/>
        <w:jc w:val="both"/>
        <w:rPr>
          <w:sz w:val="24"/>
          <w:szCs w:val="24"/>
          <w:lang w:val="es-ES_tradnl"/>
        </w:rPr>
      </w:pPr>
      <w:r w:rsidRPr="00BE20A7">
        <w:rPr>
          <w:sz w:val="24"/>
          <w:szCs w:val="24"/>
          <w:lang w:val="es-ES_tradnl"/>
        </w:rPr>
        <w:t xml:space="preserve">En la evaluación de la robustez financiera de los </w:t>
      </w:r>
      <w:r w:rsidR="00A95742">
        <w:rPr>
          <w:sz w:val="24"/>
          <w:szCs w:val="24"/>
          <w:lang w:val="es-ES_tradnl"/>
        </w:rPr>
        <w:t>CEEs</w:t>
      </w:r>
      <w:r w:rsidRPr="00BE20A7">
        <w:rPr>
          <w:sz w:val="24"/>
          <w:szCs w:val="24"/>
          <w:lang w:val="es-ES_tradnl"/>
        </w:rPr>
        <w:t xml:space="preserve"> se han considerado </w:t>
      </w:r>
      <w:r w:rsidR="00ED4356">
        <w:rPr>
          <w:sz w:val="24"/>
          <w:szCs w:val="24"/>
          <w:lang w:val="es-ES_tradnl"/>
        </w:rPr>
        <w:t>diversos</w:t>
      </w:r>
      <w:r>
        <w:rPr>
          <w:sz w:val="24"/>
          <w:szCs w:val="24"/>
          <w:lang w:val="es-ES_tradnl"/>
        </w:rPr>
        <w:t xml:space="preserve"> </w:t>
      </w:r>
      <w:r w:rsidRPr="00BE20A7">
        <w:rPr>
          <w:sz w:val="24"/>
          <w:szCs w:val="24"/>
          <w:lang w:val="es-ES_tradnl"/>
        </w:rPr>
        <w:t xml:space="preserve">indicadores, cada uno de los cuáles mide un aspecto relacionado </w:t>
      </w:r>
      <w:r>
        <w:rPr>
          <w:sz w:val="24"/>
          <w:szCs w:val="24"/>
          <w:lang w:val="es-ES_tradnl"/>
        </w:rPr>
        <w:t>con la solidez financiera del negocio</w:t>
      </w:r>
      <w:r w:rsidRPr="00BE20A7">
        <w:rPr>
          <w:sz w:val="24"/>
          <w:szCs w:val="24"/>
          <w:lang w:val="es-ES_tradnl"/>
        </w:rPr>
        <w:t xml:space="preserve">. En primer lugar, se ha analizado la liquidez y la solvencia de los </w:t>
      </w:r>
      <w:r w:rsidR="00A95742">
        <w:rPr>
          <w:sz w:val="24"/>
          <w:szCs w:val="24"/>
          <w:lang w:val="es-ES_tradnl"/>
        </w:rPr>
        <w:t>CEEs</w:t>
      </w:r>
      <w:r w:rsidRPr="00BE20A7">
        <w:rPr>
          <w:sz w:val="24"/>
          <w:szCs w:val="24"/>
          <w:lang w:val="es-ES_tradnl"/>
        </w:rPr>
        <w:t xml:space="preserve">, en el entendimiento de que la capacidad de enfrentarse a las obligaciones de pago a corto y a largo plazo es clave para asegurar la salud financiera. También se ha medido el endeudamiento, entendiendo que un menor nivel es indicador de prudencia y solidez. La rentabilidad es otro de los ámbitos que se han examinado, pretendiendo capturar la aceptación de los productos y servicios en el mercado y, por lo tanto, la viabilidad de su modelo de negocio. Por otro lado se ha </w:t>
      </w:r>
      <w:r>
        <w:rPr>
          <w:sz w:val="24"/>
          <w:szCs w:val="24"/>
          <w:lang w:val="es-ES_tradnl"/>
        </w:rPr>
        <w:t>revisado</w:t>
      </w:r>
      <w:r w:rsidRPr="00BE20A7">
        <w:rPr>
          <w:sz w:val="24"/>
          <w:szCs w:val="24"/>
          <w:lang w:val="es-ES_tradnl"/>
        </w:rPr>
        <w:t xml:space="preserve"> el número de años que los </w:t>
      </w:r>
      <w:r w:rsidR="00A95742">
        <w:rPr>
          <w:sz w:val="24"/>
          <w:szCs w:val="24"/>
          <w:lang w:val="es-ES_tradnl"/>
        </w:rPr>
        <w:t>CEEs</w:t>
      </w:r>
      <w:r w:rsidRPr="00BE20A7">
        <w:rPr>
          <w:sz w:val="24"/>
          <w:szCs w:val="24"/>
          <w:lang w:val="es-ES_tradnl"/>
        </w:rPr>
        <w:t xml:space="preserve"> llevan en funcionamiento, en el entendimiento de que la longevidad es indicador de la viabilidad del modelo de negocio de un centro así como de su capacidad de adaptación. Finalmente, se ha medido la facturación media por empleado dado que </w:t>
      </w:r>
      <w:r w:rsidR="00ED4356">
        <w:rPr>
          <w:sz w:val="24"/>
          <w:szCs w:val="24"/>
          <w:lang w:val="es-ES_tradnl"/>
        </w:rPr>
        <w:t>puede indicar la productividad</w:t>
      </w:r>
      <w:r w:rsidRPr="00BE20A7">
        <w:rPr>
          <w:sz w:val="24"/>
          <w:szCs w:val="24"/>
          <w:lang w:val="es-ES_tradnl"/>
        </w:rPr>
        <w:t>.</w:t>
      </w:r>
    </w:p>
    <w:p w:rsidR="00163CD7" w:rsidRDefault="00163CD7" w:rsidP="007B3767">
      <w:pPr>
        <w:spacing w:line="360" w:lineRule="auto"/>
        <w:jc w:val="both"/>
        <w:rPr>
          <w:sz w:val="24"/>
          <w:szCs w:val="24"/>
          <w:lang w:val="es-ES_tradnl"/>
        </w:rPr>
      </w:pPr>
    </w:p>
    <w:p w:rsidR="008230EF" w:rsidRDefault="008230EF"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163CD7" w:rsidRDefault="00163CD7" w:rsidP="007B3767">
      <w:pPr>
        <w:spacing w:line="360" w:lineRule="auto"/>
        <w:jc w:val="both"/>
        <w:rPr>
          <w:sz w:val="24"/>
          <w:szCs w:val="24"/>
          <w:lang w:val="es-ES_tradnl"/>
        </w:rPr>
      </w:pPr>
    </w:p>
    <w:p w:rsidR="007B3767" w:rsidRPr="00BE20A7" w:rsidRDefault="007B3767" w:rsidP="007B3767">
      <w:pPr>
        <w:pBdr>
          <w:top w:val="single" w:sz="4" w:space="1" w:color="auto"/>
        </w:pBdr>
        <w:spacing w:line="360" w:lineRule="auto"/>
        <w:jc w:val="center"/>
        <w:rPr>
          <w:b/>
          <w:color w:val="1F497D" w:themeColor="text2"/>
          <w:sz w:val="20"/>
          <w:lang w:val="es-ES_tradnl"/>
        </w:rPr>
      </w:pPr>
      <w:r w:rsidRPr="00BE20A7">
        <w:rPr>
          <w:b/>
          <w:color w:val="1F497D" w:themeColor="text2"/>
          <w:sz w:val="20"/>
          <w:lang w:val="es-ES_tradnl"/>
        </w:rPr>
        <w:t xml:space="preserve">Porcentaje de </w:t>
      </w:r>
      <w:r w:rsidR="00A95742">
        <w:rPr>
          <w:b/>
          <w:color w:val="1F497D" w:themeColor="text2"/>
          <w:sz w:val="20"/>
          <w:lang w:val="es-ES_tradnl"/>
        </w:rPr>
        <w:t>CEEs</w:t>
      </w:r>
      <w:r w:rsidRPr="00BE20A7">
        <w:rPr>
          <w:b/>
          <w:color w:val="1F497D" w:themeColor="text2"/>
          <w:sz w:val="20"/>
          <w:lang w:val="es-ES_tradnl"/>
        </w:rPr>
        <w:t xml:space="preserve"> que cumplen con los requisitos financieros establecidos</w:t>
      </w:r>
    </w:p>
    <w:p w:rsidR="007B3767" w:rsidRPr="00BE20A7" w:rsidRDefault="00382B72" w:rsidP="007B3767">
      <w:pPr>
        <w:spacing w:before="360" w:line="360" w:lineRule="auto"/>
        <w:ind w:right="-1"/>
      </w:pPr>
      <w:r w:rsidRPr="00382B72">
        <w:rPr>
          <w:noProof/>
          <w:lang w:eastAsia="es-ES"/>
        </w:rPr>
        <w:t xml:space="preserve"> </w:t>
      </w:r>
      <w:r>
        <w:rPr>
          <w:noProof/>
          <w:lang w:eastAsia="es-ES"/>
        </w:rPr>
        <w:drawing>
          <wp:inline distT="0" distB="0" distL="0" distR="0">
            <wp:extent cx="5400675" cy="4175760"/>
            <wp:effectExtent l="0" t="0" r="0" b="0"/>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3767" w:rsidRPr="00BE20A7" w:rsidRDefault="007B3767" w:rsidP="007B3767">
      <w:pPr>
        <w:pBdr>
          <w:bottom w:val="single" w:sz="4" w:space="2" w:color="auto"/>
        </w:pBdr>
        <w:autoSpaceDE w:val="0"/>
        <w:autoSpaceDN w:val="0"/>
        <w:spacing w:line="360" w:lineRule="auto"/>
        <w:jc w:val="both"/>
        <w:rPr>
          <w:sz w:val="20"/>
        </w:rPr>
      </w:pPr>
    </w:p>
    <w:p w:rsidR="007B3767" w:rsidRPr="00BE20A7" w:rsidRDefault="007B3767" w:rsidP="007B3767">
      <w:pPr>
        <w:pBdr>
          <w:bottom w:val="single" w:sz="4" w:space="2" w:color="auto"/>
        </w:pBdr>
        <w:autoSpaceDE w:val="0"/>
        <w:autoSpaceDN w:val="0"/>
        <w:spacing w:line="360" w:lineRule="auto"/>
        <w:jc w:val="both"/>
        <w:rPr>
          <w:sz w:val="20"/>
        </w:rPr>
      </w:pPr>
      <w:r w:rsidRPr="00BE20A7">
        <w:rPr>
          <w:sz w:val="20"/>
        </w:rPr>
        <w:t>Fuente: elaboración propia</w:t>
      </w:r>
    </w:p>
    <w:p w:rsidR="007B3767" w:rsidRPr="00BE20A7" w:rsidRDefault="007751C0" w:rsidP="007B3767">
      <w:pPr>
        <w:pBdr>
          <w:bottom w:val="single" w:sz="4" w:space="2" w:color="auto"/>
        </w:pBdr>
        <w:autoSpaceDE w:val="0"/>
        <w:autoSpaceDN w:val="0"/>
        <w:spacing w:line="360" w:lineRule="auto"/>
        <w:jc w:val="both"/>
        <w:rPr>
          <w:sz w:val="20"/>
        </w:rPr>
      </w:pPr>
      <w:r>
        <w:rPr>
          <w:sz w:val="20"/>
        </w:rPr>
        <w:t xml:space="preserve">Nota </w:t>
      </w:r>
      <w:r w:rsidR="007B3767" w:rsidRPr="00BE20A7">
        <w:rPr>
          <w:sz w:val="20"/>
        </w:rPr>
        <w:t xml:space="preserve">explicativa de la gráfica: el gráfico refleja el porcentaje de </w:t>
      </w:r>
      <w:r w:rsidR="00A95742">
        <w:rPr>
          <w:sz w:val="20"/>
        </w:rPr>
        <w:t>CEEs</w:t>
      </w:r>
      <w:r w:rsidR="007B3767" w:rsidRPr="00BE20A7">
        <w:rPr>
          <w:sz w:val="20"/>
        </w:rPr>
        <w:t xml:space="preserve"> que cumplen con cada uno de los estándares de robustez financiera descritos. Un 64% de los </w:t>
      </w:r>
      <w:r w:rsidR="00A95742">
        <w:rPr>
          <w:sz w:val="20"/>
        </w:rPr>
        <w:t>CEEs</w:t>
      </w:r>
      <w:r w:rsidR="007B3767" w:rsidRPr="00BE20A7">
        <w:rPr>
          <w:sz w:val="20"/>
        </w:rPr>
        <w:t xml:space="preserve"> se consideran líquidos o capaces de hacer frente a sus obligaciones a corto plazo. Un 52% de los </w:t>
      </w:r>
      <w:r w:rsidR="00A95742">
        <w:rPr>
          <w:sz w:val="20"/>
        </w:rPr>
        <w:t>CEEs</w:t>
      </w:r>
      <w:r w:rsidR="007B3767" w:rsidRPr="00BE20A7">
        <w:rPr>
          <w:sz w:val="20"/>
        </w:rPr>
        <w:t xml:space="preserve"> se consideran solventes o capaces de hacer frente a sus obligaciones a largo plazo. Un 59% de los </w:t>
      </w:r>
      <w:r w:rsidR="00A95742">
        <w:rPr>
          <w:sz w:val="20"/>
        </w:rPr>
        <w:t>CEEs</w:t>
      </w:r>
      <w:r w:rsidR="007B3767" w:rsidRPr="00BE20A7">
        <w:rPr>
          <w:sz w:val="20"/>
        </w:rPr>
        <w:t xml:space="preserve"> tienen un endeudamiento menor del 40%. Un 19% de los </w:t>
      </w:r>
      <w:r w:rsidR="00A95742">
        <w:rPr>
          <w:sz w:val="20"/>
        </w:rPr>
        <w:t>CEEs</w:t>
      </w:r>
      <w:r w:rsidR="007B3767" w:rsidRPr="00BE20A7">
        <w:rPr>
          <w:sz w:val="20"/>
        </w:rPr>
        <w:t xml:space="preserve"> tienen una rentabilidad superior al 10%. Un 89% de los </w:t>
      </w:r>
      <w:r w:rsidR="00A95742">
        <w:rPr>
          <w:sz w:val="20"/>
        </w:rPr>
        <w:t>CEEs</w:t>
      </w:r>
      <w:r w:rsidR="007B3767" w:rsidRPr="00BE20A7">
        <w:rPr>
          <w:sz w:val="20"/>
        </w:rPr>
        <w:t xml:space="preserve"> reportan incidencias nulas o irrelevantes. Un 47% de los </w:t>
      </w:r>
      <w:r w:rsidR="00A95742">
        <w:rPr>
          <w:sz w:val="20"/>
        </w:rPr>
        <w:t>CEEs</w:t>
      </w:r>
      <w:r w:rsidR="007B3767" w:rsidRPr="00BE20A7">
        <w:rPr>
          <w:sz w:val="20"/>
        </w:rPr>
        <w:t xml:space="preserve"> llevan en funcionamiento 10 o más años. Un 53% de los </w:t>
      </w:r>
      <w:r w:rsidR="00A95742">
        <w:rPr>
          <w:sz w:val="20"/>
        </w:rPr>
        <w:t>CEEs</w:t>
      </w:r>
      <w:r w:rsidR="007B3767" w:rsidRPr="00BE20A7">
        <w:rPr>
          <w:sz w:val="20"/>
        </w:rPr>
        <w:t xml:space="preserve"> tienen una facturación media por empleado superior a 20.000 euros.</w:t>
      </w:r>
    </w:p>
    <w:p w:rsidR="00730902" w:rsidRDefault="00730902" w:rsidP="00730902">
      <w:pPr>
        <w:autoSpaceDE w:val="0"/>
        <w:autoSpaceDN w:val="0"/>
        <w:spacing w:line="360" w:lineRule="auto"/>
        <w:jc w:val="both"/>
        <w:rPr>
          <w:sz w:val="20"/>
          <w:lang w:val="es-ES_tradnl"/>
        </w:rPr>
      </w:pPr>
      <w:r>
        <w:rPr>
          <w:sz w:val="20"/>
          <w:lang w:val="es-ES_tradnl"/>
        </w:rPr>
        <w:t>Datos de 2012</w:t>
      </w:r>
    </w:p>
    <w:p w:rsidR="006A42A8" w:rsidRPr="00BE20A7" w:rsidRDefault="006A42A8" w:rsidP="007B3767">
      <w:pPr>
        <w:spacing w:line="360" w:lineRule="auto"/>
        <w:jc w:val="both"/>
        <w:rPr>
          <w:sz w:val="24"/>
          <w:szCs w:val="24"/>
          <w:lang w:val="es-ES_tradnl"/>
        </w:rPr>
      </w:pPr>
    </w:p>
    <w:p w:rsidR="007B3767" w:rsidRDefault="007B3767" w:rsidP="007B3767">
      <w:pPr>
        <w:spacing w:line="360" w:lineRule="auto"/>
        <w:jc w:val="both"/>
        <w:rPr>
          <w:sz w:val="24"/>
          <w:szCs w:val="24"/>
          <w:lang w:val="es-ES_tradnl"/>
        </w:rPr>
      </w:pPr>
      <w:r w:rsidRPr="00BE20A7">
        <w:rPr>
          <w:sz w:val="24"/>
          <w:szCs w:val="24"/>
          <w:lang w:val="es-ES_tradnl"/>
        </w:rPr>
        <w:t xml:space="preserve">Los ámbitos financieros donde los </w:t>
      </w:r>
      <w:r w:rsidR="00A95742">
        <w:rPr>
          <w:sz w:val="24"/>
          <w:szCs w:val="24"/>
          <w:lang w:val="es-ES_tradnl"/>
        </w:rPr>
        <w:t>CEEs</w:t>
      </w:r>
      <w:r w:rsidRPr="00BE20A7">
        <w:rPr>
          <w:sz w:val="24"/>
          <w:szCs w:val="24"/>
          <w:lang w:val="es-ES_tradnl"/>
        </w:rPr>
        <w:t xml:space="preserve"> muestran </w:t>
      </w:r>
      <w:r>
        <w:rPr>
          <w:sz w:val="24"/>
          <w:szCs w:val="24"/>
          <w:lang w:val="es-ES_tradnl"/>
        </w:rPr>
        <w:t>un mejor desempeño</w:t>
      </w:r>
      <w:r w:rsidRPr="00BE20A7">
        <w:rPr>
          <w:sz w:val="24"/>
          <w:szCs w:val="24"/>
          <w:lang w:val="es-ES_tradnl"/>
        </w:rPr>
        <w:t xml:space="preserve"> son la liquidez</w:t>
      </w:r>
      <w:r>
        <w:rPr>
          <w:sz w:val="24"/>
          <w:szCs w:val="24"/>
          <w:lang w:val="es-ES_tradnl"/>
        </w:rPr>
        <w:t xml:space="preserve"> y</w:t>
      </w:r>
      <w:r w:rsidRPr="00BE20A7">
        <w:rPr>
          <w:sz w:val="24"/>
          <w:szCs w:val="24"/>
          <w:lang w:val="es-ES_tradnl"/>
        </w:rPr>
        <w:t xml:space="preserve"> el endeudamiento. </w:t>
      </w:r>
      <w:r w:rsidR="00ED4356">
        <w:rPr>
          <w:sz w:val="24"/>
          <w:szCs w:val="24"/>
          <w:lang w:val="es-ES_tradnl"/>
        </w:rPr>
        <w:t xml:space="preserve"> </w:t>
      </w:r>
    </w:p>
    <w:p w:rsidR="00ED4356" w:rsidRPr="00BE20A7" w:rsidRDefault="00ED4356" w:rsidP="007B3767">
      <w:pPr>
        <w:spacing w:line="360" w:lineRule="auto"/>
        <w:jc w:val="both"/>
        <w:rPr>
          <w:sz w:val="24"/>
          <w:szCs w:val="24"/>
          <w:lang w:val="es-ES_tradnl"/>
        </w:rPr>
      </w:pPr>
    </w:p>
    <w:p w:rsidR="007B3767" w:rsidRPr="00BE20A7" w:rsidRDefault="007B3767" w:rsidP="007B3767">
      <w:pPr>
        <w:spacing w:line="360" w:lineRule="auto"/>
        <w:jc w:val="both"/>
        <w:rPr>
          <w:sz w:val="24"/>
          <w:szCs w:val="24"/>
          <w:lang w:val="es-ES_tradnl"/>
        </w:rPr>
      </w:pPr>
      <w:r w:rsidRPr="00BE20A7">
        <w:rPr>
          <w:sz w:val="24"/>
          <w:szCs w:val="24"/>
          <w:lang w:val="es-ES_tradnl"/>
        </w:rPr>
        <w:t xml:space="preserve">Por otro lado, casi la totalidad de los </w:t>
      </w:r>
      <w:r w:rsidR="00A95742">
        <w:rPr>
          <w:sz w:val="24"/>
          <w:szCs w:val="24"/>
          <w:lang w:val="es-ES_tradnl"/>
        </w:rPr>
        <w:t>CEEs</w:t>
      </w:r>
      <w:r w:rsidRPr="00BE20A7">
        <w:rPr>
          <w:sz w:val="24"/>
          <w:szCs w:val="24"/>
          <w:lang w:val="es-ES_tradnl"/>
        </w:rPr>
        <w:t xml:space="preserve"> reportan no haber tenido incidencias o haber tenido incidencias irrelevantes, lo cual muestra que los </w:t>
      </w:r>
      <w:r w:rsidR="00A95742">
        <w:rPr>
          <w:sz w:val="24"/>
          <w:szCs w:val="24"/>
          <w:lang w:val="es-ES_tradnl"/>
        </w:rPr>
        <w:t>CEEs</w:t>
      </w:r>
      <w:r w:rsidRPr="00BE20A7">
        <w:rPr>
          <w:sz w:val="24"/>
          <w:szCs w:val="24"/>
          <w:lang w:val="es-ES_tradnl"/>
        </w:rPr>
        <w:t xml:space="preserve"> no suelen encontrar grandes problemas de gestión o incidentes relacionados con sus clientes y grupos de interés. Esta información actúa de baremo del cumplimiento de los compromisos de pago por parte de los </w:t>
      </w:r>
      <w:r w:rsidR="00A95742">
        <w:rPr>
          <w:sz w:val="24"/>
          <w:szCs w:val="24"/>
          <w:lang w:val="es-ES_tradnl"/>
        </w:rPr>
        <w:t>CEEs</w:t>
      </w:r>
      <w:r w:rsidRPr="00BE20A7">
        <w:rPr>
          <w:sz w:val="24"/>
          <w:szCs w:val="24"/>
          <w:lang w:val="es-ES_tradnl"/>
        </w:rPr>
        <w:t xml:space="preserve"> así como la observación de las correspondientes disposiciones legales. En el cálculo de este indicador se tienen en cuenta procesos judiciales en los que la empresa se ve inmersa como parte demandada, así como incidentes relacionados al pago de proveedores de la compañía, e incidentes administrativos como reclamaciones hechas por diferentes órganos de la Administración.</w:t>
      </w:r>
      <w:r w:rsidRPr="00BE20A7">
        <w:rPr>
          <w:sz w:val="24"/>
          <w:szCs w:val="24"/>
        </w:rPr>
        <w:footnoteReference w:id="6"/>
      </w:r>
    </w:p>
    <w:p w:rsidR="007B3767" w:rsidRPr="00BE20A7" w:rsidRDefault="007B3767" w:rsidP="007B3767">
      <w:pPr>
        <w:spacing w:line="360" w:lineRule="auto"/>
        <w:jc w:val="both"/>
        <w:rPr>
          <w:sz w:val="24"/>
          <w:szCs w:val="24"/>
          <w:lang w:val="es-ES_tradnl"/>
        </w:rPr>
      </w:pPr>
    </w:p>
    <w:p w:rsidR="00661818" w:rsidRDefault="007B3767" w:rsidP="007B3767">
      <w:pPr>
        <w:spacing w:line="360" w:lineRule="auto"/>
        <w:jc w:val="both"/>
        <w:rPr>
          <w:lang w:val="es-ES_tradnl"/>
        </w:rPr>
      </w:pPr>
      <w:r w:rsidRPr="00BE20A7">
        <w:rPr>
          <w:sz w:val="24"/>
          <w:szCs w:val="24"/>
          <w:lang w:val="es-ES_tradnl"/>
        </w:rPr>
        <w:t>De los aspectos considerados, la rentabilidad</w:t>
      </w:r>
      <w:r w:rsidR="00275301">
        <w:rPr>
          <w:sz w:val="24"/>
          <w:szCs w:val="24"/>
          <w:lang w:val="es-ES_tradnl"/>
        </w:rPr>
        <w:t xml:space="preserve"> </w:t>
      </w:r>
      <w:r>
        <w:rPr>
          <w:sz w:val="24"/>
          <w:szCs w:val="24"/>
          <w:lang w:val="es-ES_tradnl"/>
        </w:rPr>
        <w:t>es la principal asignatura pendiente</w:t>
      </w:r>
      <w:r w:rsidRPr="00BE20A7">
        <w:rPr>
          <w:sz w:val="24"/>
          <w:szCs w:val="24"/>
          <w:lang w:val="es-ES_tradnl"/>
        </w:rPr>
        <w:t xml:space="preserve">. </w:t>
      </w:r>
      <w:r w:rsidR="00661818">
        <w:rPr>
          <w:sz w:val="24"/>
          <w:szCs w:val="24"/>
          <w:lang w:val="es-ES_tradnl"/>
        </w:rPr>
        <w:t xml:space="preserve">Mediante el indicador de rentabilidad se ha analizado la capacidad que tiene cada centro de comercializar productos y servicios de manera rentable. </w:t>
      </w:r>
      <w:r w:rsidR="00275301">
        <w:rPr>
          <w:sz w:val="24"/>
          <w:szCs w:val="24"/>
          <w:lang w:val="es-ES_tradnl"/>
        </w:rPr>
        <w:t>Los resultados muestran como s</w:t>
      </w:r>
      <w:r w:rsidRPr="00BE20A7">
        <w:rPr>
          <w:sz w:val="24"/>
          <w:szCs w:val="24"/>
          <w:lang w:val="es-ES_tradnl"/>
        </w:rPr>
        <w:t xml:space="preserve">olamente el 19% de los </w:t>
      </w:r>
      <w:r w:rsidR="00A95742">
        <w:rPr>
          <w:sz w:val="24"/>
          <w:szCs w:val="24"/>
          <w:lang w:val="es-ES_tradnl"/>
        </w:rPr>
        <w:t>CEEs</w:t>
      </w:r>
      <w:r w:rsidRPr="00BE20A7">
        <w:rPr>
          <w:sz w:val="24"/>
          <w:szCs w:val="24"/>
          <w:lang w:val="es-ES_tradnl"/>
        </w:rPr>
        <w:t xml:space="preserve"> consiguieron una rentabilidad superior al 10%. Una vez más, este dato ha de entenderse dentro del contexto de crisis económica en el que estaba sumergido el país durante los años </w:t>
      </w:r>
      <w:r>
        <w:rPr>
          <w:sz w:val="24"/>
          <w:szCs w:val="24"/>
          <w:lang w:val="es-ES_tradnl"/>
        </w:rPr>
        <w:t xml:space="preserve">utilizados para el análisis de los </w:t>
      </w:r>
      <w:r w:rsidR="00A95742">
        <w:rPr>
          <w:sz w:val="24"/>
          <w:szCs w:val="24"/>
          <w:lang w:val="es-ES_tradnl"/>
        </w:rPr>
        <w:t>CEEs</w:t>
      </w:r>
      <w:r>
        <w:rPr>
          <w:sz w:val="24"/>
          <w:szCs w:val="24"/>
          <w:lang w:val="es-ES_tradnl"/>
        </w:rPr>
        <w:t xml:space="preserve">: </w:t>
      </w:r>
      <w:r w:rsidRPr="00BE20A7">
        <w:rPr>
          <w:sz w:val="24"/>
          <w:szCs w:val="24"/>
          <w:lang w:val="es-ES_tradnl"/>
        </w:rPr>
        <w:t>2011, 2012 y 2013. La rentabilidad ordinaria de los recursos propios de las empresas españolas no financieras se mantuvo por debajo del 10% durante esos años.</w:t>
      </w:r>
      <w:r w:rsidR="00BA5187">
        <w:rPr>
          <w:sz w:val="24"/>
          <w:szCs w:val="24"/>
          <w:lang w:val="es-ES_tradnl"/>
        </w:rPr>
        <w:t xml:space="preserve"> Por tanto, los </w:t>
      </w:r>
      <w:r w:rsidR="00FE32B8">
        <w:rPr>
          <w:sz w:val="24"/>
          <w:szCs w:val="24"/>
          <w:lang w:val="es-ES_tradnl"/>
        </w:rPr>
        <w:t>centros especiales de empleo</w:t>
      </w:r>
      <w:r w:rsidR="00BA5187">
        <w:rPr>
          <w:sz w:val="24"/>
          <w:szCs w:val="24"/>
          <w:lang w:val="es-ES_tradnl"/>
        </w:rPr>
        <w:t xml:space="preserve"> de Castilla y León no difieren en este aspecto del comportamiento más habitual de las empresas ordinarias en el momento de crisis.</w:t>
      </w:r>
    </w:p>
    <w:p w:rsidR="007B3767" w:rsidRPr="00BE20A7" w:rsidRDefault="007B3767" w:rsidP="007B3767">
      <w:pPr>
        <w:spacing w:line="360" w:lineRule="auto"/>
        <w:rPr>
          <w:sz w:val="24"/>
          <w:szCs w:val="24"/>
          <w:lang w:val="es-ES_tradnl"/>
        </w:rPr>
      </w:pPr>
    </w:p>
    <w:p w:rsidR="007B3767" w:rsidRDefault="004B0226" w:rsidP="00810DE3">
      <w:pPr>
        <w:spacing w:line="360" w:lineRule="auto"/>
        <w:jc w:val="both"/>
        <w:rPr>
          <w:sz w:val="24"/>
          <w:szCs w:val="24"/>
          <w:lang w:val="es-ES_tradnl"/>
        </w:rPr>
      </w:pPr>
      <w:r>
        <w:rPr>
          <w:sz w:val="24"/>
          <w:szCs w:val="24"/>
          <w:lang w:val="es-ES_tradnl"/>
        </w:rPr>
        <w:t>Existen algunas diferencias entre</w:t>
      </w:r>
      <w:r w:rsidR="007B3767" w:rsidRPr="00BE20A7">
        <w:rPr>
          <w:sz w:val="24"/>
          <w:szCs w:val="24"/>
          <w:lang w:val="es-ES_tradnl"/>
        </w:rPr>
        <w:t xml:space="preserve"> los resultados de indicadores financieros de los </w:t>
      </w:r>
      <w:r w:rsidR="00A95742">
        <w:rPr>
          <w:sz w:val="24"/>
          <w:szCs w:val="24"/>
          <w:lang w:val="es-ES_tradnl"/>
        </w:rPr>
        <w:t>CEEs</w:t>
      </w:r>
      <w:r w:rsidR="007B3767" w:rsidRPr="00BE20A7">
        <w:rPr>
          <w:sz w:val="24"/>
          <w:szCs w:val="24"/>
          <w:lang w:val="es-ES_tradnl"/>
        </w:rPr>
        <w:t xml:space="preserve"> de </w:t>
      </w:r>
      <w:r w:rsidR="003D6D08">
        <w:rPr>
          <w:sz w:val="24"/>
          <w:szCs w:val="24"/>
          <w:lang w:val="es-ES_tradnl"/>
        </w:rPr>
        <w:t>iniciativa empresarial</w:t>
      </w:r>
      <w:r w:rsidR="007B3767" w:rsidRPr="00BE20A7">
        <w:rPr>
          <w:sz w:val="24"/>
          <w:szCs w:val="24"/>
          <w:lang w:val="es-ES_tradnl"/>
        </w:rPr>
        <w:t xml:space="preserve"> y los de iniciativa social.</w:t>
      </w:r>
      <w:r w:rsidR="009F61B6">
        <w:rPr>
          <w:sz w:val="24"/>
          <w:szCs w:val="24"/>
          <w:lang w:val="es-ES_tradnl"/>
        </w:rPr>
        <w:t xml:space="preserve"> </w:t>
      </w:r>
      <w:r w:rsidR="007B3767" w:rsidRPr="00BE20A7">
        <w:rPr>
          <w:sz w:val="24"/>
          <w:szCs w:val="24"/>
          <w:lang w:val="es-ES_tradnl"/>
        </w:rPr>
        <w:t>Los de iniciativa social son, en general</w:t>
      </w:r>
      <w:r w:rsidR="007B3767">
        <w:rPr>
          <w:sz w:val="24"/>
          <w:szCs w:val="24"/>
          <w:lang w:val="es-ES_tradnl"/>
        </w:rPr>
        <w:t xml:space="preserve"> y de acuerdo a la información disponible</w:t>
      </w:r>
      <w:r w:rsidR="007B3767" w:rsidRPr="00BE20A7">
        <w:rPr>
          <w:sz w:val="24"/>
          <w:szCs w:val="24"/>
          <w:lang w:val="es-ES_tradnl"/>
        </w:rPr>
        <w:t xml:space="preserve">, más solventes y tienen menos endeudamiento. Los de </w:t>
      </w:r>
      <w:r w:rsidR="003D6D08">
        <w:rPr>
          <w:sz w:val="24"/>
          <w:szCs w:val="24"/>
          <w:lang w:val="es-ES_tradnl"/>
        </w:rPr>
        <w:t>iniciativa empresarial</w:t>
      </w:r>
      <w:r w:rsidR="007B3767" w:rsidRPr="00BE20A7">
        <w:rPr>
          <w:sz w:val="24"/>
          <w:szCs w:val="24"/>
          <w:lang w:val="es-ES_tradnl"/>
        </w:rPr>
        <w:t xml:space="preserve"> son de creación más reciente que los de iniciativa social: sólo el 40% de los primeros tiene una antigüedad de 10 o más años, mientras que el 65% de los </w:t>
      </w:r>
      <w:r w:rsidR="00A95742">
        <w:rPr>
          <w:sz w:val="24"/>
          <w:szCs w:val="24"/>
          <w:lang w:val="es-ES_tradnl"/>
        </w:rPr>
        <w:t>CEEs</w:t>
      </w:r>
      <w:r w:rsidR="007B3767" w:rsidRPr="00BE20A7">
        <w:rPr>
          <w:sz w:val="24"/>
          <w:szCs w:val="24"/>
          <w:lang w:val="es-ES_tradnl"/>
        </w:rPr>
        <w:t xml:space="preserve"> de iniciativa social analizados cumplen con esta característica. Los </w:t>
      </w:r>
      <w:r w:rsidR="00A95742">
        <w:rPr>
          <w:sz w:val="24"/>
          <w:szCs w:val="24"/>
          <w:lang w:val="es-ES_tradnl"/>
        </w:rPr>
        <w:t>CEEs</w:t>
      </w:r>
      <w:r w:rsidR="007B3767" w:rsidRPr="00BE20A7">
        <w:rPr>
          <w:sz w:val="24"/>
          <w:szCs w:val="24"/>
          <w:lang w:val="es-ES_tradnl"/>
        </w:rPr>
        <w:t xml:space="preserve"> de </w:t>
      </w:r>
      <w:r w:rsidR="003D6D08">
        <w:rPr>
          <w:sz w:val="24"/>
          <w:szCs w:val="24"/>
          <w:lang w:val="es-ES_tradnl"/>
        </w:rPr>
        <w:t>iniciativa empresarial</w:t>
      </w:r>
      <w:r w:rsidR="007B3767" w:rsidRPr="00BE20A7">
        <w:rPr>
          <w:sz w:val="24"/>
          <w:szCs w:val="24"/>
          <w:lang w:val="es-ES_tradnl"/>
        </w:rPr>
        <w:t xml:space="preserve">, sin embargo, consiguen un mejor resultado en lo relacionado con la facturación media de sus empleados: un 58% de ellos tiene una facturación media superior a 20.000 euros por empleado. En el caso de los </w:t>
      </w:r>
      <w:r w:rsidR="00A95742">
        <w:rPr>
          <w:sz w:val="24"/>
          <w:szCs w:val="24"/>
          <w:lang w:val="es-ES_tradnl"/>
        </w:rPr>
        <w:t>CEEs</w:t>
      </w:r>
      <w:r w:rsidR="007B3767" w:rsidRPr="00BE20A7">
        <w:rPr>
          <w:sz w:val="24"/>
          <w:szCs w:val="24"/>
          <w:lang w:val="es-ES_tradnl"/>
        </w:rPr>
        <w:t xml:space="preserve"> de iniciativa social, un 39% de </w:t>
      </w:r>
      <w:r w:rsidR="00A95742">
        <w:rPr>
          <w:sz w:val="24"/>
          <w:szCs w:val="24"/>
          <w:lang w:val="es-ES_tradnl"/>
        </w:rPr>
        <w:t>ellos</w:t>
      </w:r>
      <w:r w:rsidR="00810DE3">
        <w:rPr>
          <w:sz w:val="24"/>
          <w:szCs w:val="24"/>
          <w:lang w:val="es-ES_tradnl"/>
        </w:rPr>
        <w:t xml:space="preserve"> cumplen ese requisito.</w:t>
      </w:r>
    </w:p>
    <w:p w:rsidR="00EA26D8" w:rsidRDefault="00EA26D8" w:rsidP="008603D6">
      <w:pPr>
        <w:autoSpaceDE w:val="0"/>
        <w:autoSpaceDN w:val="0"/>
        <w:spacing w:line="360" w:lineRule="auto"/>
        <w:jc w:val="both"/>
        <w:rPr>
          <w:sz w:val="24"/>
          <w:szCs w:val="24"/>
          <w:lang w:val="es-ES_tradnl"/>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360"/>
        <w:gridCol w:w="4360"/>
      </w:tblGrid>
      <w:tr w:rsidR="00EA26D8" w:rsidRPr="00194813" w:rsidTr="0045063C">
        <w:tc>
          <w:tcPr>
            <w:tcW w:w="4360" w:type="dxa"/>
          </w:tcPr>
          <w:p w:rsidR="00EA26D8" w:rsidRPr="007B3767" w:rsidRDefault="00EA26D8" w:rsidP="00B75F57">
            <w:pPr>
              <w:spacing w:line="360" w:lineRule="auto"/>
              <w:jc w:val="both"/>
              <w:rPr>
                <w:b/>
                <w:sz w:val="20"/>
                <w:lang w:val="es-ES_tradnl"/>
              </w:rPr>
            </w:pPr>
            <w:r w:rsidRPr="007B3767">
              <w:rPr>
                <w:b/>
                <w:sz w:val="20"/>
                <w:lang w:val="es-ES_tradnl"/>
              </w:rPr>
              <w:t>Fortalezas</w:t>
            </w:r>
          </w:p>
          <w:p w:rsidR="00EA26D8" w:rsidRDefault="00EA26D8" w:rsidP="00B75F57">
            <w:pPr>
              <w:pStyle w:val="Prrafodelista"/>
              <w:numPr>
                <w:ilvl w:val="0"/>
                <w:numId w:val="32"/>
              </w:numPr>
              <w:spacing w:line="360" w:lineRule="auto"/>
              <w:jc w:val="both"/>
              <w:rPr>
                <w:sz w:val="20"/>
                <w:lang w:val="es-ES_tradnl"/>
              </w:rPr>
            </w:pPr>
            <w:r>
              <w:rPr>
                <w:sz w:val="20"/>
                <w:lang w:val="es-ES_tradnl"/>
              </w:rPr>
              <w:t xml:space="preserve">Los </w:t>
            </w:r>
            <w:r w:rsidR="00263316">
              <w:rPr>
                <w:sz w:val="20"/>
                <w:lang w:val="es-ES_tradnl"/>
              </w:rPr>
              <w:t>CEEs</w:t>
            </w:r>
            <w:r>
              <w:rPr>
                <w:sz w:val="20"/>
                <w:lang w:val="es-ES_tradnl"/>
              </w:rPr>
              <w:t xml:space="preserve"> destacan por su </w:t>
            </w:r>
            <w:r w:rsidRPr="001D1FD0">
              <w:rPr>
                <w:sz w:val="20"/>
                <w:lang w:val="es-ES_tradnl"/>
              </w:rPr>
              <w:t xml:space="preserve">prudencia financiera, que queda reflejada en </w:t>
            </w:r>
            <w:r w:rsidR="00EA49B8">
              <w:rPr>
                <w:sz w:val="20"/>
                <w:lang w:val="es-ES_tradnl"/>
              </w:rPr>
              <w:t>su</w:t>
            </w:r>
            <w:r w:rsidRPr="001D1FD0">
              <w:rPr>
                <w:sz w:val="20"/>
                <w:lang w:val="es-ES_tradnl"/>
              </w:rPr>
              <w:t xml:space="preserve"> buen desempeño en cuanto a liquidez y endeudamiento, y que pone de manifiesto un modelo de gestión responsable</w:t>
            </w:r>
            <w:r>
              <w:rPr>
                <w:sz w:val="20"/>
                <w:lang w:val="es-ES_tradnl"/>
              </w:rPr>
              <w:t>.</w:t>
            </w:r>
          </w:p>
          <w:p w:rsidR="00EA26D8" w:rsidRPr="001D1FD0" w:rsidRDefault="00EA26D8" w:rsidP="00B75F57">
            <w:pPr>
              <w:spacing w:line="360" w:lineRule="auto"/>
              <w:jc w:val="both"/>
              <w:rPr>
                <w:sz w:val="20"/>
                <w:lang w:val="es-ES_tradnl"/>
              </w:rPr>
            </w:pPr>
          </w:p>
        </w:tc>
        <w:tc>
          <w:tcPr>
            <w:tcW w:w="4360" w:type="dxa"/>
          </w:tcPr>
          <w:p w:rsidR="00EA26D8" w:rsidRPr="007B3767" w:rsidRDefault="00EA26D8" w:rsidP="00B75F57">
            <w:pPr>
              <w:spacing w:line="360" w:lineRule="auto"/>
              <w:jc w:val="both"/>
              <w:rPr>
                <w:b/>
                <w:sz w:val="20"/>
                <w:lang w:val="es-ES_tradnl"/>
              </w:rPr>
            </w:pPr>
            <w:r w:rsidRPr="007B3767">
              <w:rPr>
                <w:b/>
                <w:sz w:val="20"/>
                <w:lang w:val="es-ES_tradnl"/>
              </w:rPr>
              <w:t>Debilidades</w:t>
            </w:r>
          </w:p>
          <w:p w:rsidR="00EA26D8" w:rsidRPr="007B3767" w:rsidRDefault="00EA26D8" w:rsidP="00EA49B8">
            <w:pPr>
              <w:pStyle w:val="Prrafodelista"/>
              <w:numPr>
                <w:ilvl w:val="0"/>
                <w:numId w:val="33"/>
              </w:numPr>
              <w:spacing w:line="360" w:lineRule="auto"/>
              <w:jc w:val="both"/>
              <w:rPr>
                <w:sz w:val="20"/>
                <w:lang w:val="es-ES_tradnl"/>
              </w:rPr>
            </w:pPr>
            <w:r>
              <w:rPr>
                <w:sz w:val="20"/>
                <w:lang w:val="es-ES_tradnl"/>
              </w:rPr>
              <w:t xml:space="preserve">El ámbito de la rentabilidad constituye la principal área de mejora en terreno financiero, </w:t>
            </w:r>
            <w:r w:rsidR="00EA49B8">
              <w:rPr>
                <w:sz w:val="20"/>
                <w:lang w:val="es-ES_tradnl"/>
              </w:rPr>
              <w:t>ya que</w:t>
            </w:r>
            <w:r>
              <w:rPr>
                <w:sz w:val="20"/>
                <w:lang w:val="es-ES_tradnl"/>
              </w:rPr>
              <w:t xml:space="preserve"> sólo un 19% cumplen con el requisito establecido</w:t>
            </w:r>
            <w:r w:rsidR="00ED4356">
              <w:rPr>
                <w:sz w:val="20"/>
                <w:lang w:val="es-ES_tradnl"/>
              </w:rPr>
              <w:t xml:space="preserve"> establecido en el análisis</w:t>
            </w:r>
            <w:r>
              <w:rPr>
                <w:sz w:val="20"/>
                <w:lang w:val="es-ES_tradnl"/>
              </w:rPr>
              <w:t>.</w:t>
            </w:r>
          </w:p>
        </w:tc>
      </w:tr>
      <w:tr w:rsidR="00EA26D8" w:rsidRPr="00194813" w:rsidTr="0045063C">
        <w:tc>
          <w:tcPr>
            <w:tcW w:w="8720" w:type="dxa"/>
            <w:gridSpan w:val="2"/>
          </w:tcPr>
          <w:p w:rsidR="00EA26D8" w:rsidRDefault="00EA26D8" w:rsidP="00B75F57">
            <w:pPr>
              <w:spacing w:line="360" w:lineRule="auto"/>
              <w:jc w:val="both"/>
              <w:rPr>
                <w:b/>
                <w:sz w:val="20"/>
                <w:lang w:val="es-ES_tradnl"/>
              </w:rPr>
            </w:pPr>
            <w:r w:rsidRPr="007B3767">
              <w:rPr>
                <w:b/>
                <w:sz w:val="20"/>
                <w:lang w:val="es-ES_tradnl"/>
              </w:rPr>
              <w:t>Áreas para avanzar</w:t>
            </w:r>
          </w:p>
          <w:p w:rsidR="00EA26D8" w:rsidRPr="001F37D8" w:rsidRDefault="00EA26D8" w:rsidP="00ED4356">
            <w:pPr>
              <w:pStyle w:val="Prrafodelista"/>
              <w:numPr>
                <w:ilvl w:val="0"/>
                <w:numId w:val="37"/>
              </w:numPr>
              <w:spacing w:line="360" w:lineRule="auto"/>
              <w:jc w:val="both"/>
              <w:rPr>
                <w:sz w:val="20"/>
                <w:lang w:val="es-ES_tradnl"/>
              </w:rPr>
            </w:pPr>
            <w:r w:rsidRPr="00676D80">
              <w:rPr>
                <w:sz w:val="20"/>
                <w:lang w:val="es-ES_tradnl"/>
              </w:rPr>
              <w:t xml:space="preserve">Además de lo relacionado con la rentabilidad, </w:t>
            </w:r>
            <w:r>
              <w:rPr>
                <w:sz w:val="20"/>
                <w:lang w:val="es-ES_tradnl"/>
              </w:rPr>
              <w:t xml:space="preserve">los </w:t>
            </w:r>
            <w:r w:rsidR="00A95742">
              <w:rPr>
                <w:sz w:val="20"/>
                <w:lang w:val="es-ES_tradnl"/>
              </w:rPr>
              <w:t>CEEs</w:t>
            </w:r>
            <w:r>
              <w:rPr>
                <w:sz w:val="20"/>
                <w:lang w:val="es-ES_tradnl"/>
              </w:rPr>
              <w:t xml:space="preserve"> tienen oportunidad de mejorar </w:t>
            </w:r>
            <w:r w:rsidR="00EA49B8">
              <w:rPr>
                <w:sz w:val="20"/>
                <w:lang w:val="es-ES_tradnl"/>
              </w:rPr>
              <w:t xml:space="preserve">respecto a solvencia y </w:t>
            </w:r>
            <w:r>
              <w:rPr>
                <w:sz w:val="20"/>
                <w:lang w:val="es-ES_tradnl"/>
              </w:rPr>
              <w:t xml:space="preserve">facturación media por empleado. Aunque la mayoría cumple con los requisitos establecidos en esas áreas, así como en lo relacionado a la liquidez y el endeudamiento, </w:t>
            </w:r>
            <w:r w:rsidR="00ED4356">
              <w:rPr>
                <w:sz w:val="20"/>
                <w:lang w:val="es-ES_tradnl"/>
              </w:rPr>
              <w:t>buena parte de</w:t>
            </w:r>
            <w:r>
              <w:rPr>
                <w:sz w:val="20"/>
                <w:lang w:val="es-ES_tradnl"/>
              </w:rPr>
              <w:t xml:space="preserve"> los </w:t>
            </w:r>
            <w:r w:rsidR="00A95742">
              <w:rPr>
                <w:sz w:val="20"/>
                <w:lang w:val="es-ES_tradnl"/>
              </w:rPr>
              <w:t>CEEs</w:t>
            </w:r>
            <w:r>
              <w:rPr>
                <w:sz w:val="20"/>
                <w:lang w:val="es-ES_tradnl"/>
              </w:rPr>
              <w:t xml:space="preserve"> tienen margen</w:t>
            </w:r>
            <w:r w:rsidRPr="00676D80">
              <w:rPr>
                <w:sz w:val="20"/>
                <w:lang w:val="es-ES_tradnl"/>
              </w:rPr>
              <w:t xml:space="preserve"> para mejorar</w:t>
            </w:r>
            <w:r w:rsidR="00EA49B8">
              <w:rPr>
                <w:sz w:val="20"/>
                <w:lang w:val="es-ES_tradnl"/>
              </w:rPr>
              <w:t>.</w:t>
            </w:r>
          </w:p>
        </w:tc>
      </w:tr>
    </w:tbl>
    <w:p w:rsidR="00EA26D8" w:rsidRDefault="00EA26D8" w:rsidP="008603D6">
      <w:pPr>
        <w:autoSpaceDE w:val="0"/>
        <w:autoSpaceDN w:val="0"/>
        <w:spacing w:line="360" w:lineRule="auto"/>
        <w:jc w:val="both"/>
        <w:rPr>
          <w:sz w:val="24"/>
          <w:szCs w:val="24"/>
          <w:lang w:val="es-ES_tradnl"/>
        </w:rPr>
      </w:pPr>
    </w:p>
    <w:p w:rsidR="00EA26D8" w:rsidRDefault="00EA26D8" w:rsidP="00EA26D8">
      <w:pPr>
        <w:pStyle w:val="Ttulo2"/>
        <w:rPr>
          <w:lang w:val="es-ES_tradnl"/>
        </w:rPr>
      </w:pPr>
      <w:bookmarkStart w:id="229" w:name="_Toc410916874"/>
      <w:r w:rsidRPr="00BE20A7">
        <w:rPr>
          <w:lang w:val="es-ES_tradnl"/>
        </w:rPr>
        <w:t>Evaluación Competitiva</w:t>
      </w:r>
      <w:bookmarkEnd w:id="229"/>
    </w:p>
    <w:p w:rsidR="00EA26D8" w:rsidRPr="00BE20A7" w:rsidRDefault="00EA26D8" w:rsidP="00EA26D8">
      <w:pPr>
        <w:spacing w:line="360" w:lineRule="auto"/>
        <w:rPr>
          <w:b/>
          <w:sz w:val="24"/>
          <w:szCs w:val="24"/>
          <w:lang w:val="es-ES_tradnl"/>
        </w:rPr>
      </w:pPr>
    </w:p>
    <w:p w:rsidR="007559ED" w:rsidRDefault="00EA26D8" w:rsidP="00DF0FAA">
      <w:pPr>
        <w:pBdr>
          <w:bottom w:val="single" w:sz="4" w:space="1" w:color="auto"/>
        </w:pBdr>
        <w:tabs>
          <w:tab w:val="left" w:pos="5103"/>
          <w:tab w:val="left" w:pos="5529"/>
        </w:tabs>
        <w:spacing w:line="360" w:lineRule="auto"/>
        <w:jc w:val="both"/>
        <w:rPr>
          <w:sz w:val="24"/>
          <w:szCs w:val="24"/>
          <w:lang w:val="es-ES_tradnl"/>
        </w:rPr>
      </w:pPr>
      <w:r w:rsidRPr="00BE20A7">
        <w:rPr>
          <w:sz w:val="24"/>
          <w:szCs w:val="24"/>
          <w:lang w:val="es-ES_tradnl"/>
        </w:rPr>
        <w:t xml:space="preserve">En el análisis de posición competitiva se ha evaluado el potencial competitivo y de crecimiento de los </w:t>
      </w:r>
      <w:r w:rsidR="00A95742">
        <w:rPr>
          <w:sz w:val="24"/>
          <w:szCs w:val="24"/>
          <w:lang w:val="es-ES_tradnl"/>
        </w:rPr>
        <w:t>CEEs</w:t>
      </w:r>
      <w:r w:rsidRPr="00BE20A7">
        <w:rPr>
          <w:sz w:val="24"/>
          <w:szCs w:val="24"/>
          <w:lang w:val="es-ES_tradnl"/>
        </w:rPr>
        <w:t xml:space="preserve">, </w:t>
      </w:r>
      <w:r>
        <w:rPr>
          <w:sz w:val="24"/>
          <w:szCs w:val="24"/>
          <w:lang w:val="es-ES_tradnl"/>
        </w:rPr>
        <w:t>atendiendo a</w:t>
      </w:r>
      <w:r w:rsidRPr="00BE20A7">
        <w:rPr>
          <w:sz w:val="24"/>
          <w:szCs w:val="24"/>
          <w:lang w:val="es-ES_tradnl"/>
        </w:rPr>
        <w:t xml:space="preserve"> indicadores como el Valor Añadido Bruto del sector de actividad al que pertenecen o la evolución de las ventas. El objetivo de esta parte del análisis es diagnosticar cómo se posicionan los </w:t>
      </w:r>
      <w:r w:rsidR="00263316">
        <w:rPr>
          <w:sz w:val="24"/>
          <w:szCs w:val="24"/>
          <w:lang w:val="es-ES_tradnl"/>
        </w:rPr>
        <w:t>CEEs</w:t>
      </w:r>
      <w:r w:rsidRPr="00BE20A7">
        <w:rPr>
          <w:sz w:val="24"/>
          <w:szCs w:val="24"/>
          <w:lang w:val="es-ES_tradnl"/>
        </w:rPr>
        <w:t xml:space="preserve"> en el mercado y su </w:t>
      </w:r>
      <w:r>
        <w:rPr>
          <w:sz w:val="24"/>
          <w:szCs w:val="24"/>
          <w:lang w:val="es-ES_tradnl"/>
        </w:rPr>
        <w:t>actuación en actividades o sectores de especial valor añadido que puedan ofrecer mejores oportunidades a las personas con discapacidad</w:t>
      </w:r>
      <w:r w:rsidRPr="00BE20A7">
        <w:rPr>
          <w:sz w:val="24"/>
          <w:szCs w:val="24"/>
          <w:lang w:val="es-ES_tradnl"/>
        </w:rPr>
        <w:t>.</w:t>
      </w:r>
    </w:p>
    <w:p w:rsidR="00DF0FAA" w:rsidRPr="00BE20A7" w:rsidRDefault="00DF0FAA" w:rsidP="00DF0FAA">
      <w:pPr>
        <w:pBdr>
          <w:bottom w:val="single" w:sz="4" w:space="1" w:color="auto"/>
        </w:pBdr>
        <w:tabs>
          <w:tab w:val="left" w:pos="5103"/>
          <w:tab w:val="left" w:pos="5529"/>
        </w:tabs>
        <w:spacing w:line="360" w:lineRule="auto"/>
        <w:jc w:val="both"/>
        <w:rPr>
          <w:sz w:val="24"/>
          <w:szCs w:val="24"/>
          <w:lang w:val="es-ES_tradnl"/>
        </w:rPr>
      </w:pPr>
    </w:p>
    <w:p w:rsidR="00EA26D8" w:rsidRPr="00BE20A7" w:rsidRDefault="006814BD" w:rsidP="00EA26D8">
      <w:pPr>
        <w:spacing w:before="360" w:line="360" w:lineRule="auto"/>
        <w:ind w:left="567"/>
        <w:rPr>
          <w:noProof/>
          <w:lang w:val="es-ES_tradnl" w:eastAsia="es-ES"/>
        </w:rPr>
      </w:pPr>
      <w:r w:rsidRPr="006814BD">
        <w:rPr>
          <w:noProof/>
          <w:lang w:eastAsia="es-ES"/>
        </w:rPr>
        <w:t xml:space="preserve"> </w:t>
      </w:r>
      <w:r>
        <w:rPr>
          <w:noProof/>
          <w:lang w:eastAsia="es-ES"/>
        </w:rPr>
        <w:drawing>
          <wp:inline distT="0" distB="0" distL="0" distR="0">
            <wp:extent cx="3839135" cy="2344832"/>
            <wp:effectExtent l="0" t="0" r="9525" b="1778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26D8" w:rsidRPr="00BE20A7" w:rsidRDefault="00EA26D8" w:rsidP="00EA26D8">
      <w:pPr>
        <w:spacing w:line="360" w:lineRule="auto"/>
        <w:rPr>
          <w:sz w:val="20"/>
        </w:rPr>
      </w:pPr>
      <w:r w:rsidRPr="00BE20A7">
        <w:rPr>
          <w:sz w:val="20"/>
        </w:rPr>
        <w:t>Fuente: Elaboración propia</w:t>
      </w:r>
    </w:p>
    <w:p w:rsidR="00EA26D8" w:rsidRDefault="007751C0">
      <w:pPr>
        <w:pBdr>
          <w:bottom w:val="single" w:sz="4" w:space="1" w:color="auto"/>
        </w:pBdr>
        <w:spacing w:line="360" w:lineRule="auto"/>
        <w:rPr>
          <w:sz w:val="20"/>
        </w:rPr>
      </w:pPr>
      <w:r>
        <w:rPr>
          <w:sz w:val="20"/>
        </w:rPr>
        <w:t xml:space="preserve">Nota </w:t>
      </w:r>
      <w:r w:rsidR="00EA26D8" w:rsidRPr="00BE20A7">
        <w:rPr>
          <w:sz w:val="20"/>
        </w:rPr>
        <w:t xml:space="preserve">explicativa de la gráfica: Un 28% de los </w:t>
      </w:r>
      <w:r w:rsidR="00A95742">
        <w:rPr>
          <w:sz w:val="20"/>
        </w:rPr>
        <w:t>CEEs</w:t>
      </w:r>
      <w:r w:rsidR="00EA26D8" w:rsidRPr="00BE20A7">
        <w:rPr>
          <w:sz w:val="20"/>
        </w:rPr>
        <w:t xml:space="preserve"> analizados </w:t>
      </w:r>
      <w:r w:rsidR="00030645">
        <w:rPr>
          <w:sz w:val="20"/>
        </w:rPr>
        <w:t>obtienen</w:t>
      </w:r>
      <w:r w:rsidR="00EA26D8" w:rsidRPr="00BE20A7">
        <w:rPr>
          <w:sz w:val="20"/>
        </w:rPr>
        <w:t xml:space="preserve"> una </w:t>
      </w:r>
      <w:r w:rsidR="00030645">
        <w:rPr>
          <w:sz w:val="20"/>
        </w:rPr>
        <w:t>calificación</w:t>
      </w:r>
      <w:r w:rsidR="00EA26D8" w:rsidRPr="00BE20A7">
        <w:rPr>
          <w:sz w:val="20"/>
        </w:rPr>
        <w:t xml:space="preserve"> superior a 50 sobre 100 en la evaluación según la metodología detallada en el apartado 2. Un 72% </w:t>
      </w:r>
      <w:r w:rsidR="00030645">
        <w:rPr>
          <w:sz w:val="20"/>
        </w:rPr>
        <w:t>obtienen</w:t>
      </w:r>
      <w:r w:rsidR="00EA26D8" w:rsidRPr="00BE20A7">
        <w:rPr>
          <w:sz w:val="20"/>
        </w:rPr>
        <w:t xml:space="preserve"> una </w:t>
      </w:r>
      <w:r w:rsidR="00030645">
        <w:rPr>
          <w:sz w:val="20"/>
        </w:rPr>
        <w:t>calificación</w:t>
      </w:r>
      <w:r w:rsidR="00EA26D8" w:rsidRPr="00BE20A7">
        <w:rPr>
          <w:sz w:val="20"/>
        </w:rPr>
        <w:t xml:space="preserve"> por debajo de 50 puntos sobre 100.</w:t>
      </w:r>
    </w:p>
    <w:p w:rsidR="006A42A8" w:rsidRPr="00842404" w:rsidRDefault="006A42A8" w:rsidP="00842404">
      <w:pPr>
        <w:spacing w:line="360" w:lineRule="auto"/>
        <w:rPr>
          <w:noProof/>
          <w:sz w:val="18"/>
          <w:szCs w:val="18"/>
          <w:lang w:eastAsia="es-ES"/>
        </w:rPr>
      </w:pPr>
      <w:r w:rsidRPr="00842404">
        <w:rPr>
          <w:noProof/>
          <w:sz w:val="18"/>
          <w:szCs w:val="18"/>
          <w:lang w:eastAsia="es-ES"/>
        </w:rPr>
        <w:t xml:space="preserve">Datos de </w:t>
      </w:r>
      <w:r w:rsidR="00730902">
        <w:rPr>
          <w:noProof/>
          <w:sz w:val="18"/>
          <w:szCs w:val="18"/>
          <w:lang w:eastAsia="es-ES"/>
        </w:rPr>
        <w:t>2011-</w:t>
      </w:r>
      <w:r w:rsidRPr="00842404">
        <w:rPr>
          <w:noProof/>
          <w:sz w:val="18"/>
          <w:szCs w:val="18"/>
          <w:lang w:eastAsia="es-ES"/>
        </w:rPr>
        <w:t>2012</w:t>
      </w:r>
    </w:p>
    <w:p w:rsidR="00DF0FAA" w:rsidRDefault="00DF0FAA" w:rsidP="00EA26D8">
      <w:pPr>
        <w:spacing w:line="360" w:lineRule="auto"/>
        <w:jc w:val="both"/>
        <w:rPr>
          <w:sz w:val="24"/>
          <w:szCs w:val="24"/>
          <w:lang w:val="es-ES_tradnl"/>
        </w:rPr>
      </w:pPr>
    </w:p>
    <w:p w:rsidR="00EA26D8" w:rsidRPr="00BE20A7" w:rsidRDefault="00EA26D8" w:rsidP="00DF0FAA">
      <w:pPr>
        <w:spacing w:line="360" w:lineRule="auto"/>
        <w:jc w:val="both"/>
        <w:rPr>
          <w:sz w:val="24"/>
          <w:szCs w:val="24"/>
          <w:lang w:val="es-ES_tradnl"/>
        </w:rPr>
      </w:pPr>
      <w:r w:rsidRPr="00BE20A7">
        <w:rPr>
          <w:sz w:val="24"/>
          <w:szCs w:val="24"/>
          <w:lang w:val="es-ES_tradnl"/>
        </w:rPr>
        <w:t xml:space="preserve">Lo que muestra el análisis es que, en general, los </w:t>
      </w:r>
      <w:r w:rsidR="00263316">
        <w:rPr>
          <w:sz w:val="24"/>
          <w:szCs w:val="24"/>
          <w:lang w:val="es-ES_tradnl"/>
        </w:rPr>
        <w:t>CEEs</w:t>
      </w:r>
      <w:r w:rsidRPr="00BE20A7">
        <w:rPr>
          <w:sz w:val="24"/>
          <w:szCs w:val="24"/>
          <w:lang w:val="es-ES_tradnl"/>
        </w:rPr>
        <w:t xml:space="preserve"> se dedican a actividades </w:t>
      </w:r>
      <w:r>
        <w:rPr>
          <w:sz w:val="24"/>
          <w:szCs w:val="24"/>
          <w:lang w:val="es-ES_tradnl"/>
        </w:rPr>
        <w:t xml:space="preserve">y sectores </w:t>
      </w:r>
      <w:r w:rsidRPr="00BE20A7">
        <w:rPr>
          <w:sz w:val="24"/>
          <w:szCs w:val="24"/>
          <w:lang w:val="es-ES_tradnl"/>
        </w:rPr>
        <w:t>cuyo potencial competitivo no es demasiado alto. Estos resul</w:t>
      </w:r>
      <w:r w:rsidR="00446110">
        <w:rPr>
          <w:sz w:val="24"/>
          <w:szCs w:val="24"/>
          <w:lang w:val="es-ES_tradnl"/>
        </w:rPr>
        <w:t xml:space="preserve">tados no deben tomarse como un </w:t>
      </w:r>
      <w:r w:rsidRPr="00BE20A7">
        <w:rPr>
          <w:sz w:val="24"/>
          <w:szCs w:val="24"/>
          <w:lang w:val="es-ES_tradnl"/>
        </w:rPr>
        <w:t xml:space="preserve">reflejo del desempeño particular de los </w:t>
      </w:r>
      <w:r w:rsidR="00263316">
        <w:rPr>
          <w:sz w:val="24"/>
          <w:szCs w:val="24"/>
          <w:lang w:val="es-ES_tradnl"/>
        </w:rPr>
        <w:t>CEEs</w:t>
      </w:r>
      <w:r w:rsidRPr="00BE20A7">
        <w:rPr>
          <w:sz w:val="24"/>
          <w:szCs w:val="24"/>
          <w:lang w:val="es-ES_tradnl"/>
        </w:rPr>
        <w:t xml:space="preserve"> ya que lo que se evalúa en esta sección es, sobre todo, las características generales de las industrias en las que trabajan.  La gestión y el desempeño de los </w:t>
      </w:r>
      <w:r w:rsidR="00DF0FAA">
        <w:rPr>
          <w:sz w:val="24"/>
          <w:szCs w:val="24"/>
          <w:lang w:val="es-ES_tradnl"/>
        </w:rPr>
        <w:t>centros</w:t>
      </w:r>
      <w:r w:rsidRPr="00BE20A7">
        <w:rPr>
          <w:sz w:val="24"/>
          <w:szCs w:val="24"/>
          <w:lang w:val="es-ES_tradnl"/>
        </w:rPr>
        <w:t xml:space="preserve">, salvo en lo que se refiere a ventas y beneficios, no queda reflejado aquí sino en las evaluaciones financiera y social. </w:t>
      </w:r>
    </w:p>
    <w:p w:rsidR="00EA26D8" w:rsidRDefault="00EA26D8" w:rsidP="001F37D8">
      <w:pPr>
        <w:tabs>
          <w:tab w:val="left" w:pos="5103"/>
          <w:tab w:val="left" w:pos="5529"/>
        </w:tabs>
        <w:spacing w:line="360" w:lineRule="auto"/>
        <w:rPr>
          <w:sz w:val="24"/>
          <w:szCs w:val="24"/>
          <w:lang w:val="es-ES_tradnl"/>
        </w:rPr>
      </w:pPr>
    </w:p>
    <w:p w:rsidR="00046EC0" w:rsidRDefault="001F37D8" w:rsidP="00046EC0">
      <w:pPr>
        <w:autoSpaceDE w:val="0"/>
        <w:autoSpaceDN w:val="0"/>
        <w:spacing w:line="360" w:lineRule="auto"/>
        <w:jc w:val="both"/>
        <w:rPr>
          <w:sz w:val="24"/>
          <w:szCs w:val="24"/>
          <w:lang w:val="es-ES_tradnl"/>
        </w:rPr>
      </w:pPr>
      <w:r>
        <w:rPr>
          <w:sz w:val="24"/>
          <w:szCs w:val="24"/>
          <w:lang w:val="es-ES_tradnl"/>
        </w:rPr>
        <w:t xml:space="preserve">En el caso de la posición competitiva, no existen diferencias entre las puntuaciones globales de los </w:t>
      </w:r>
      <w:r w:rsidR="00DF0FAA">
        <w:rPr>
          <w:sz w:val="24"/>
          <w:szCs w:val="24"/>
          <w:lang w:val="es-ES_tradnl"/>
        </w:rPr>
        <w:t xml:space="preserve">centros </w:t>
      </w:r>
      <w:r>
        <w:rPr>
          <w:sz w:val="24"/>
          <w:szCs w:val="24"/>
          <w:lang w:val="es-ES_tradnl"/>
        </w:rPr>
        <w:t xml:space="preserve">de </w:t>
      </w:r>
      <w:r w:rsidR="003D6D08">
        <w:rPr>
          <w:sz w:val="24"/>
          <w:szCs w:val="24"/>
          <w:lang w:val="es-ES_tradnl"/>
        </w:rPr>
        <w:t>iniciativa empresarial</w:t>
      </w:r>
      <w:r>
        <w:rPr>
          <w:sz w:val="24"/>
          <w:szCs w:val="24"/>
          <w:lang w:val="es-ES_tradnl"/>
        </w:rPr>
        <w:t xml:space="preserve"> y de iniciativa social: en ambos casos</w:t>
      </w:r>
      <w:r w:rsidRPr="001F37D8">
        <w:rPr>
          <w:sz w:val="24"/>
          <w:szCs w:val="24"/>
          <w:lang w:val="es-ES_tradnl"/>
        </w:rPr>
        <w:t xml:space="preserve">, un 28% de </w:t>
      </w:r>
      <w:r w:rsidR="00DF0FAA">
        <w:rPr>
          <w:sz w:val="24"/>
          <w:szCs w:val="24"/>
          <w:lang w:val="es-ES_tradnl"/>
        </w:rPr>
        <w:t>ellos</w:t>
      </w:r>
      <w:r w:rsidR="003A7636">
        <w:rPr>
          <w:sz w:val="24"/>
          <w:szCs w:val="24"/>
          <w:lang w:val="es-ES_tradnl"/>
        </w:rPr>
        <w:t xml:space="preserve"> obtiene una calificación</w:t>
      </w:r>
      <w:r w:rsidRPr="001F37D8">
        <w:rPr>
          <w:sz w:val="24"/>
          <w:szCs w:val="24"/>
          <w:lang w:val="es-ES_tradnl"/>
        </w:rPr>
        <w:t xml:space="preserve"> superior a 50</w:t>
      </w:r>
      <w:r w:rsidR="003A7636">
        <w:rPr>
          <w:sz w:val="24"/>
          <w:szCs w:val="24"/>
          <w:lang w:val="es-ES_tradnl"/>
        </w:rPr>
        <w:t xml:space="preserve"> puntos sobre 100.</w:t>
      </w:r>
    </w:p>
    <w:p w:rsidR="00446110" w:rsidRDefault="00446110" w:rsidP="00046EC0">
      <w:pPr>
        <w:autoSpaceDE w:val="0"/>
        <w:autoSpaceDN w:val="0"/>
        <w:spacing w:line="360" w:lineRule="auto"/>
        <w:jc w:val="both"/>
        <w:rPr>
          <w:sz w:val="24"/>
          <w:szCs w:val="24"/>
          <w:lang w:val="es-ES_tradnl"/>
        </w:rPr>
      </w:pPr>
    </w:p>
    <w:p w:rsidR="00446110" w:rsidRDefault="00446110" w:rsidP="00446110">
      <w:pPr>
        <w:spacing w:line="360" w:lineRule="auto"/>
        <w:jc w:val="both"/>
        <w:rPr>
          <w:sz w:val="24"/>
          <w:szCs w:val="24"/>
          <w:lang w:val="es-ES_tradnl"/>
        </w:rPr>
      </w:pPr>
      <w:r w:rsidRPr="003959C3">
        <w:rPr>
          <w:sz w:val="24"/>
          <w:szCs w:val="24"/>
          <w:lang w:val="es-ES_tradnl"/>
        </w:rPr>
        <w:t>Al analizar la</w:t>
      </w:r>
      <w:r>
        <w:rPr>
          <w:sz w:val="24"/>
          <w:szCs w:val="24"/>
          <w:lang w:val="es-ES_tradnl"/>
        </w:rPr>
        <w:t xml:space="preserve"> </w:t>
      </w:r>
      <w:r w:rsidR="00312ED5">
        <w:rPr>
          <w:sz w:val="24"/>
          <w:szCs w:val="24"/>
          <w:lang w:val="es-ES_tradnl"/>
        </w:rPr>
        <w:t>distribución</w:t>
      </w:r>
      <w:r>
        <w:rPr>
          <w:sz w:val="24"/>
          <w:szCs w:val="24"/>
          <w:lang w:val="es-ES_tradnl"/>
        </w:rPr>
        <w:t xml:space="preserve"> de las calificaciones de posición competitiva se observa una tendencia hacia puntuaciones </w:t>
      </w:r>
      <w:r w:rsidR="00A53BDB">
        <w:rPr>
          <w:sz w:val="24"/>
          <w:szCs w:val="24"/>
          <w:lang w:val="es-ES_tradnl"/>
        </w:rPr>
        <w:t>medianas</w:t>
      </w:r>
      <w:r>
        <w:rPr>
          <w:sz w:val="24"/>
          <w:szCs w:val="24"/>
          <w:lang w:val="es-ES_tradnl"/>
        </w:rPr>
        <w:t>:</w:t>
      </w:r>
    </w:p>
    <w:p w:rsidR="00446110" w:rsidRDefault="00446110" w:rsidP="00046EC0">
      <w:pPr>
        <w:autoSpaceDE w:val="0"/>
        <w:autoSpaceDN w:val="0"/>
        <w:spacing w:line="360" w:lineRule="auto"/>
        <w:jc w:val="both"/>
        <w:rPr>
          <w:sz w:val="24"/>
          <w:szCs w:val="24"/>
          <w:lang w:val="es-ES_tradnl"/>
        </w:rPr>
      </w:pPr>
    </w:p>
    <w:p w:rsidR="00446110" w:rsidRDefault="00446110" w:rsidP="00046EC0">
      <w:pPr>
        <w:autoSpaceDE w:val="0"/>
        <w:autoSpaceDN w:val="0"/>
        <w:spacing w:line="360" w:lineRule="auto"/>
        <w:jc w:val="both"/>
        <w:rPr>
          <w:sz w:val="24"/>
          <w:szCs w:val="24"/>
          <w:lang w:val="es-ES_tradnl"/>
        </w:rPr>
      </w:pPr>
    </w:p>
    <w:p w:rsidR="00446110" w:rsidRDefault="00446110" w:rsidP="00046EC0">
      <w:pPr>
        <w:autoSpaceDE w:val="0"/>
        <w:autoSpaceDN w:val="0"/>
        <w:spacing w:line="360" w:lineRule="auto"/>
        <w:jc w:val="both"/>
        <w:rPr>
          <w:sz w:val="24"/>
          <w:szCs w:val="24"/>
          <w:lang w:val="es-ES_tradnl"/>
        </w:rPr>
      </w:pPr>
    </w:p>
    <w:p w:rsidR="00446110" w:rsidRDefault="000D19EB" w:rsidP="00446110">
      <w:pPr>
        <w:autoSpaceDE w:val="0"/>
        <w:autoSpaceDN w:val="0"/>
        <w:spacing w:line="360" w:lineRule="auto"/>
        <w:jc w:val="center"/>
        <w:rPr>
          <w:sz w:val="24"/>
          <w:szCs w:val="24"/>
          <w:lang w:val="es-ES_tradnl"/>
        </w:rPr>
      </w:pPr>
      <w:r>
        <w:rPr>
          <w:noProof/>
          <w:lang w:eastAsia="es-ES"/>
        </w:rPr>
        <w:drawing>
          <wp:inline distT="0" distB="0" distL="0" distR="0">
            <wp:extent cx="4343400" cy="25336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46110" w:rsidRPr="00BE20A7" w:rsidRDefault="00446110" w:rsidP="00446110">
      <w:pPr>
        <w:autoSpaceDE w:val="0"/>
        <w:autoSpaceDN w:val="0"/>
        <w:spacing w:line="360" w:lineRule="auto"/>
        <w:jc w:val="both"/>
        <w:rPr>
          <w:sz w:val="20"/>
        </w:rPr>
      </w:pPr>
      <w:r w:rsidRPr="00BE20A7">
        <w:rPr>
          <w:sz w:val="20"/>
        </w:rPr>
        <w:t>Fuente: Elaboración propia</w:t>
      </w:r>
    </w:p>
    <w:p w:rsidR="00446110" w:rsidRDefault="00446110" w:rsidP="000D19EB">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 que obtienen una determinada calificación</w:t>
      </w:r>
      <w:r w:rsidRPr="00BE20A7">
        <w:rPr>
          <w:sz w:val="20"/>
        </w:rPr>
        <w:t xml:space="preserve">. Eje horizontal, </w:t>
      </w:r>
      <w:r>
        <w:rPr>
          <w:sz w:val="20"/>
        </w:rPr>
        <w:t>rangos de calificaciones.</w:t>
      </w:r>
    </w:p>
    <w:p w:rsidR="000D19EB" w:rsidRPr="00446110" w:rsidRDefault="000D19EB" w:rsidP="000D19EB">
      <w:pPr>
        <w:spacing w:line="360" w:lineRule="auto"/>
        <w:jc w:val="both"/>
        <w:rPr>
          <w:sz w:val="20"/>
        </w:rPr>
      </w:pPr>
      <w:r>
        <w:rPr>
          <w:sz w:val="20"/>
        </w:rPr>
        <w:t xml:space="preserve">Datos de </w:t>
      </w:r>
      <w:r w:rsidR="00730902">
        <w:rPr>
          <w:sz w:val="20"/>
        </w:rPr>
        <w:t>2011-</w:t>
      </w:r>
      <w:r>
        <w:rPr>
          <w:sz w:val="20"/>
        </w:rPr>
        <w:t>2012</w:t>
      </w:r>
    </w:p>
    <w:p w:rsidR="00046EC0" w:rsidRPr="00046EC0" w:rsidRDefault="00046EC0" w:rsidP="00046EC0">
      <w:pPr>
        <w:pStyle w:val="Ttulo3"/>
        <w:rPr>
          <w:lang w:val="es-ES_tradnl"/>
        </w:rPr>
      </w:pPr>
      <w:bookmarkStart w:id="230" w:name="_Toc410916875"/>
      <w:r w:rsidRPr="00046EC0">
        <w:rPr>
          <w:lang w:val="es-ES_tradnl"/>
        </w:rPr>
        <w:t>Análisis de indicadores de posición competitiva</w:t>
      </w:r>
      <w:bookmarkEnd w:id="230"/>
    </w:p>
    <w:p w:rsidR="001F37D8" w:rsidRDefault="001F37D8" w:rsidP="001F37D8">
      <w:pPr>
        <w:autoSpaceDE w:val="0"/>
        <w:autoSpaceDN w:val="0"/>
        <w:spacing w:line="360" w:lineRule="auto"/>
        <w:jc w:val="both"/>
        <w:rPr>
          <w:sz w:val="24"/>
          <w:szCs w:val="24"/>
          <w:lang w:val="es-ES_tradnl"/>
        </w:rPr>
      </w:pPr>
    </w:p>
    <w:p w:rsidR="00DD621F" w:rsidRDefault="00DD621F" w:rsidP="001F37D8">
      <w:pPr>
        <w:autoSpaceDE w:val="0"/>
        <w:autoSpaceDN w:val="0"/>
        <w:spacing w:line="360" w:lineRule="auto"/>
        <w:jc w:val="both"/>
        <w:rPr>
          <w:sz w:val="24"/>
          <w:szCs w:val="24"/>
          <w:lang w:val="es-ES_tradnl"/>
        </w:rPr>
      </w:pPr>
      <w:r>
        <w:rPr>
          <w:sz w:val="24"/>
          <w:szCs w:val="24"/>
          <w:lang w:val="es-ES_tradnl"/>
        </w:rPr>
        <w:t>Cuadro de resumen de indicadores de posición competitiva</w:t>
      </w:r>
    </w:p>
    <w:tbl>
      <w:tblPr>
        <w:tblStyle w:val="Tablaconcuadrcula"/>
        <w:tblW w:w="0" w:type="auto"/>
        <w:tblLook w:val="04A0"/>
      </w:tblPr>
      <w:tblGrid>
        <w:gridCol w:w="4247"/>
        <w:gridCol w:w="4248"/>
      </w:tblGrid>
      <w:tr w:rsidR="00DF0FAA" w:rsidRPr="00F82488" w:rsidTr="00DF0FAA">
        <w:tc>
          <w:tcPr>
            <w:tcW w:w="4247"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Sectores de alto potencial de crecimiento</w:t>
            </w:r>
          </w:p>
        </w:tc>
        <w:tc>
          <w:tcPr>
            <w:tcW w:w="4248" w:type="dxa"/>
          </w:tcPr>
          <w:p w:rsidR="00DF0FAA" w:rsidRPr="00F62700"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 xml:space="preserve">84 </w:t>
            </w:r>
            <w:r>
              <w:rPr>
                <w:sz w:val="18"/>
                <w:szCs w:val="18"/>
                <w:lang w:val="es-ES_tradnl"/>
              </w:rPr>
              <w:t xml:space="preserve">CEEs son </w:t>
            </w:r>
            <w:r w:rsidRPr="000E6836">
              <w:rPr>
                <w:sz w:val="18"/>
                <w:szCs w:val="18"/>
                <w:lang w:val="es-ES_tradnl"/>
              </w:rPr>
              <w:t xml:space="preserve">compañías gacelas </w:t>
            </w:r>
            <w:r>
              <w:rPr>
                <w:sz w:val="18"/>
                <w:szCs w:val="18"/>
                <w:lang w:val="es-ES_tradnl"/>
              </w:rPr>
              <w:t xml:space="preserve">o de alto crecimiento según la terminología de la OCDE en base al sector al que se dedican. </w:t>
            </w:r>
          </w:p>
        </w:tc>
      </w:tr>
      <w:tr w:rsidR="00DF0FAA" w:rsidTr="00DF0FAA">
        <w:tc>
          <w:tcPr>
            <w:tcW w:w="4247" w:type="dxa"/>
          </w:tcPr>
          <w:p w:rsidR="00DF0FAA" w:rsidRDefault="00DF0FAA" w:rsidP="00DF0FAA">
            <w:pPr>
              <w:tabs>
                <w:tab w:val="left" w:pos="5103"/>
                <w:tab w:val="left" w:pos="5529"/>
              </w:tabs>
              <w:spacing w:line="360" w:lineRule="auto"/>
              <w:jc w:val="both"/>
              <w:rPr>
                <w:sz w:val="24"/>
                <w:szCs w:val="24"/>
                <w:lang w:val="es-ES_tradnl"/>
              </w:rPr>
            </w:pPr>
            <w:r w:rsidRPr="00B75F57">
              <w:rPr>
                <w:sz w:val="24"/>
                <w:szCs w:val="24"/>
                <w:lang w:val="es-ES_tradnl"/>
              </w:rPr>
              <w:t xml:space="preserve">Sectores de alto potencial de </w:t>
            </w:r>
            <w:r>
              <w:rPr>
                <w:sz w:val="24"/>
                <w:szCs w:val="24"/>
                <w:lang w:val="es-ES_tradnl"/>
              </w:rPr>
              <w:t>exportación</w:t>
            </w:r>
          </w:p>
        </w:tc>
        <w:tc>
          <w:tcPr>
            <w:tcW w:w="4248" w:type="dxa"/>
          </w:tcPr>
          <w:p w:rsidR="00DF0FAA" w:rsidRPr="00F62700" w:rsidRDefault="00DF0FAA" w:rsidP="00DF0FAA">
            <w:pPr>
              <w:tabs>
                <w:tab w:val="left" w:pos="5103"/>
                <w:tab w:val="left" w:pos="5529"/>
              </w:tabs>
              <w:spacing w:line="360" w:lineRule="auto"/>
              <w:jc w:val="both"/>
              <w:rPr>
                <w:sz w:val="18"/>
                <w:szCs w:val="18"/>
                <w:lang w:val="es-ES_tradnl"/>
              </w:rPr>
            </w:pPr>
            <w:r>
              <w:rPr>
                <w:sz w:val="18"/>
                <w:szCs w:val="18"/>
                <w:lang w:val="es-ES_tradnl"/>
              </w:rPr>
              <w:t>S</w:t>
            </w:r>
            <w:r w:rsidRPr="000E6836">
              <w:rPr>
                <w:sz w:val="18"/>
                <w:szCs w:val="18"/>
                <w:lang w:val="es-ES_tradnl"/>
              </w:rPr>
              <w:t>olo 36 CEEs se encuentran en sectores de actividad con gran capacidad exportadora</w:t>
            </w:r>
            <w:r>
              <w:rPr>
                <w:sz w:val="18"/>
                <w:szCs w:val="18"/>
                <w:lang w:val="es-ES_tradnl"/>
              </w:rPr>
              <w:t>, según la clasificación sectorial MIT.</w:t>
            </w:r>
          </w:p>
        </w:tc>
      </w:tr>
      <w:tr w:rsidR="00DF0FAA" w:rsidTr="00DF0FAA">
        <w:tc>
          <w:tcPr>
            <w:tcW w:w="4247"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Sectores de la salud, tecnologías de la información y economía verde</w:t>
            </w:r>
          </w:p>
        </w:tc>
        <w:tc>
          <w:tcPr>
            <w:tcW w:w="4248" w:type="dxa"/>
          </w:tcPr>
          <w:p w:rsidR="00DF0FAA" w:rsidRPr="00F62700" w:rsidRDefault="00DF0FAA" w:rsidP="00DF0FAA">
            <w:pPr>
              <w:tabs>
                <w:tab w:val="left" w:pos="5103"/>
                <w:tab w:val="left" w:pos="5529"/>
              </w:tabs>
              <w:spacing w:line="360" w:lineRule="auto"/>
              <w:jc w:val="both"/>
              <w:rPr>
                <w:sz w:val="18"/>
                <w:szCs w:val="18"/>
                <w:lang w:val="es-ES_tradnl"/>
              </w:rPr>
            </w:pPr>
            <w:r>
              <w:rPr>
                <w:sz w:val="18"/>
                <w:szCs w:val="18"/>
                <w:lang w:val="es-ES_tradnl"/>
              </w:rPr>
              <w:t>Solo 13 CEEs se dedican a estas actividades.</w:t>
            </w:r>
          </w:p>
        </w:tc>
      </w:tr>
      <w:tr w:rsidR="00DF0FAA" w:rsidTr="00DF0FAA">
        <w:tc>
          <w:tcPr>
            <w:tcW w:w="4247"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Sectores de alto Valor Añadido Bruto/empleado</w:t>
            </w:r>
          </w:p>
        </w:tc>
        <w:tc>
          <w:tcPr>
            <w:tcW w:w="4248" w:type="dxa"/>
          </w:tcPr>
          <w:p w:rsidR="00DF0FAA" w:rsidRPr="00F62700" w:rsidRDefault="00DF0FAA" w:rsidP="00DF0FAA">
            <w:pPr>
              <w:tabs>
                <w:tab w:val="left" w:pos="5103"/>
                <w:tab w:val="left" w:pos="5529"/>
              </w:tabs>
              <w:spacing w:line="360" w:lineRule="auto"/>
              <w:jc w:val="both"/>
              <w:rPr>
                <w:sz w:val="18"/>
                <w:szCs w:val="18"/>
                <w:lang w:val="es-ES_tradnl"/>
              </w:rPr>
            </w:pPr>
            <w:r>
              <w:rPr>
                <w:sz w:val="18"/>
                <w:szCs w:val="18"/>
                <w:lang w:val="es-ES_tradnl"/>
              </w:rPr>
              <w:t xml:space="preserve">Únicamente 19 CEEs desarrollan actividades con un Valor Añadido Bruto por empleado </w:t>
            </w:r>
            <w:r w:rsidRPr="000E6836">
              <w:rPr>
                <w:sz w:val="18"/>
                <w:szCs w:val="18"/>
                <w:lang w:val="es-ES_tradnl"/>
              </w:rPr>
              <w:t>superior a 52.000 euros</w:t>
            </w:r>
          </w:p>
        </w:tc>
      </w:tr>
      <w:tr w:rsidR="00DF0FAA" w:rsidTr="00DF0FAA">
        <w:tc>
          <w:tcPr>
            <w:tcW w:w="4247"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Sectores de alto potencial de generación de riqueza</w:t>
            </w:r>
          </w:p>
        </w:tc>
        <w:tc>
          <w:tcPr>
            <w:tcW w:w="4248" w:type="dxa"/>
          </w:tcPr>
          <w:p w:rsidR="00DF0FAA" w:rsidRPr="00F62700" w:rsidRDefault="00DF0FAA" w:rsidP="00DF0FAA">
            <w:pPr>
              <w:tabs>
                <w:tab w:val="left" w:pos="5103"/>
                <w:tab w:val="left" w:pos="5529"/>
              </w:tabs>
              <w:spacing w:line="360" w:lineRule="auto"/>
              <w:jc w:val="both"/>
              <w:rPr>
                <w:sz w:val="18"/>
                <w:szCs w:val="18"/>
                <w:lang w:val="es-ES_tradnl"/>
              </w:rPr>
            </w:pPr>
            <w:r>
              <w:rPr>
                <w:sz w:val="18"/>
                <w:szCs w:val="18"/>
                <w:lang w:val="es-ES_tradnl"/>
              </w:rPr>
              <w:t xml:space="preserve">Rendimiento medio: de media, los CEEs obtienen una </w:t>
            </w:r>
            <w:r w:rsidRPr="000E6836">
              <w:rPr>
                <w:sz w:val="18"/>
                <w:szCs w:val="18"/>
                <w:lang w:val="es-ES_tradnl"/>
              </w:rPr>
              <w:t>puntuación de 2,4 sobre 5</w:t>
            </w:r>
            <w:r>
              <w:rPr>
                <w:sz w:val="18"/>
                <w:szCs w:val="18"/>
                <w:lang w:val="es-ES_tradnl"/>
              </w:rPr>
              <w:t xml:space="preserve"> en este ámbito debido al sector al que se dedican.</w:t>
            </w:r>
          </w:p>
        </w:tc>
      </w:tr>
      <w:tr w:rsidR="00DF0FAA" w:rsidTr="00DF0FAA">
        <w:tc>
          <w:tcPr>
            <w:tcW w:w="4247"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Evolución de las ventas</w:t>
            </w:r>
          </w:p>
        </w:tc>
        <w:tc>
          <w:tcPr>
            <w:tcW w:w="4248" w:type="dxa"/>
          </w:tcPr>
          <w:p w:rsidR="00DF0FAA" w:rsidRPr="000E6836" w:rsidRDefault="00DF0FAA" w:rsidP="00DF0FAA">
            <w:pPr>
              <w:tabs>
                <w:tab w:val="left" w:pos="5103"/>
                <w:tab w:val="left" w:pos="5529"/>
              </w:tabs>
              <w:spacing w:line="360" w:lineRule="auto"/>
              <w:jc w:val="both"/>
              <w:rPr>
                <w:sz w:val="18"/>
                <w:szCs w:val="18"/>
                <w:lang w:val="es-ES_tradnl"/>
              </w:rPr>
            </w:pPr>
            <w:r>
              <w:rPr>
                <w:sz w:val="18"/>
                <w:szCs w:val="18"/>
                <w:lang w:val="es-ES_tradnl"/>
              </w:rPr>
              <w:t xml:space="preserve">Los CEEs han </w:t>
            </w:r>
            <w:r w:rsidRPr="000E6836">
              <w:rPr>
                <w:sz w:val="18"/>
                <w:szCs w:val="18"/>
                <w:lang w:val="es-ES_tradnl"/>
              </w:rPr>
              <w:t xml:space="preserve">aumentado las ventas </w:t>
            </w:r>
            <w:r>
              <w:rPr>
                <w:sz w:val="18"/>
                <w:szCs w:val="18"/>
                <w:lang w:val="es-ES_tradnl"/>
              </w:rPr>
              <w:t>entre los años de 2011 y 2012</w:t>
            </w:r>
          </w:p>
        </w:tc>
      </w:tr>
      <w:tr w:rsidR="00DF0FAA" w:rsidTr="00DF0FAA">
        <w:tc>
          <w:tcPr>
            <w:tcW w:w="4247"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Consistencia en los resultados (resultados positivos dos años consecutivos).</w:t>
            </w:r>
          </w:p>
        </w:tc>
        <w:tc>
          <w:tcPr>
            <w:tcW w:w="4248" w:type="dxa"/>
          </w:tcPr>
          <w:p w:rsidR="00DF0FAA" w:rsidRPr="000E6836"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 xml:space="preserve">73 </w:t>
            </w:r>
            <w:r>
              <w:rPr>
                <w:sz w:val="18"/>
                <w:szCs w:val="18"/>
                <w:lang w:val="es-ES_tradnl"/>
              </w:rPr>
              <w:t>CEEs</w:t>
            </w:r>
            <w:r w:rsidRPr="00A47BBF">
              <w:rPr>
                <w:sz w:val="18"/>
                <w:szCs w:val="18"/>
                <w:lang w:val="es-ES_tradnl"/>
              </w:rPr>
              <w:t xml:space="preserve"> han conseguido mantener </w:t>
            </w:r>
            <w:r w:rsidRPr="000E6836">
              <w:rPr>
                <w:sz w:val="18"/>
                <w:szCs w:val="18"/>
                <w:lang w:val="es-ES_tradnl"/>
              </w:rPr>
              <w:t>resultados positivos tanto en 2011 como en 2012</w:t>
            </w:r>
          </w:p>
        </w:tc>
      </w:tr>
      <w:tr w:rsidR="00DF0FAA" w:rsidTr="00DF0FAA">
        <w:tc>
          <w:tcPr>
            <w:tcW w:w="4247" w:type="dxa"/>
          </w:tcPr>
          <w:p w:rsidR="00DF0FAA" w:rsidRDefault="00DF0FAA" w:rsidP="00DF0FAA">
            <w:pPr>
              <w:tabs>
                <w:tab w:val="left" w:pos="5103"/>
                <w:tab w:val="left" w:pos="5529"/>
              </w:tabs>
              <w:spacing w:line="360" w:lineRule="auto"/>
              <w:rPr>
                <w:sz w:val="24"/>
                <w:szCs w:val="24"/>
                <w:lang w:val="es-ES_tradnl"/>
              </w:rPr>
            </w:pPr>
            <w:r>
              <w:rPr>
                <w:sz w:val="24"/>
                <w:szCs w:val="24"/>
                <w:lang w:val="es-ES_tradnl"/>
              </w:rPr>
              <w:t>Sectores de alta intensidad en inversión I+D</w:t>
            </w:r>
          </w:p>
        </w:tc>
        <w:tc>
          <w:tcPr>
            <w:tcW w:w="4248" w:type="dxa"/>
          </w:tcPr>
          <w:p w:rsidR="00DF0FAA" w:rsidRPr="004464EF"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22 CEEs</w:t>
            </w:r>
            <w:r w:rsidRPr="004464EF">
              <w:rPr>
                <w:sz w:val="18"/>
                <w:szCs w:val="18"/>
                <w:lang w:val="es-ES_tradnl"/>
              </w:rPr>
              <w:t xml:space="preserve"> </w:t>
            </w:r>
            <w:r>
              <w:rPr>
                <w:sz w:val="18"/>
                <w:szCs w:val="18"/>
                <w:lang w:val="es-ES_tradnl"/>
              </w:rPr>
              <w:t>se encuentran en sectores de alta intensidad en inversión I+D</w:t>
            </w:r>
          </w:p>
        </w:tc>
      </w:tr>
    </w:tbl>
    <w:p w:rsidR="00EA26D8" w:rsidRPr="00B75F57" w:rsidRDefault="00EA26D8" w:rsidP="00EA26D8">
      <w:pPr>
        <w:spacing w:line="360" w:lineRule="auto"/>
        <w:rPr>
          <w:b/>
          <w:sz w:val="24"/>
          <w:szCs w:val="24"/>
        </w:rPr>
      </w:pPr>
    </w:p>
    <w:p w:rsidR="00EA26D8" w:rsidRPr="00BE20A7" w:rsidRDefault="00EA26D8" w:rsidP="00EA26D8">
      <w:pPr>
        <w:spacing w:line="360" w:lineRule="auto"/>
        <w:jc w:val="both"/>
        <w:rPr>
          <w:sz w:val="24"/>
          <w:szCs w:val="24"/>
          <w:lang w:val="es-ES_tradnl"/>
        </w:rPr>
      </w:pPr>
      <w:r w:rsidRPr="00BE20A7">
        <w:rPr>
          <w:sz w:val="24"/>
          <w:szCs w:val="24"/>
          <w:lang w:val="es-ES_tradnl"/>
        </w:rPr>
        <w:t xml:space="preserve">En la evaluación de la posición competitiva de los </w:t>
      </w:r>
      <w:r w:rsidR="00A95742">
        <w:rPr>
          <w:sz w:val="24"/>
          <w:szCs w:val="24"/>
          <w:lang w:val="es-ES_tradnl"/>
        </w:rPr>
        <w:t>CEEs</w:t>
      </w:r>
      <w:r w:rsidRPr="00BE20A7">
        <w:rPr>
          <w:sz w:val="24"/>
          <w:szCs w:val="24"/>
          <w:lang w:val="es-ES_tradnl"/>
        </w:rPr>
        <w:t xml:space="preserve"> se han considerado </w:t>
      </w:r>
      <w:r w:rsidR="00DF0FAA">
        <w:rPr>
          <w:sz w:val="24"/>
          <w:szCs w:val="24"/>
          <w:lang w:val="es-ES_tradnl"/>
        </w:rPr>
        <w:t>diversos</w:t>
      </w:r>
      <w:r w:rsidRPr="00BE20A7">
        <w:rPr>
          <w:sz w:val="24"/>
          <w:szCs w:val="24"/>
          <w:lang w:val="es-ES_tradnl"/>
        </w:rPr>
        <w:t xml:space="preserve"> indicadores, cada uno de los cuáles mide un aspecto relacionado al valor añadido económico de los </w:t>
      </w:r>
      <w:r w:rsidR="00A95742">
        <w:rPr>
          <w:sz w:val="24"/>
          <w:szCs w:val="24"/>
          <w:lang w:val="es-ES_tradnl"/>
        </w:rPr>
        <w:t>CEEs</w:t>
      </w:r>
      <w:r w:rsidRPr="00BE20A7">
        <w:rPr>
          <w:sz w:val="24"/>
          <w:szCs w:val="24"/>
          <w:lang w:val="es-ES_tradnl"/>
        </w:rPr>
        <w:t>. El sector de la actividad que realiza cada centro se ha evaluado en base a su potencial de crecimiento</w:t>
      </w:r>
      <w:r w:rsidR="00DF0FAA">
        <w:rPr>
          <w:sz w:val="24"/>
          <w:szCs w:val="24"/>
          <w:lang w:val="es-ES_tradnl"/>
        </w:rPr>
        <w:t xml:space="preserve"> y</w:t>
      </w:r>
      <w:r w:rsidRPr="00BE20A7">
        <w:rPr>
          <w:sz w:val="24"/>
          <w:szCs w:val="24"/>
          <w:lang w:val="es-ES_tradnl"/>
        </w:rPr>
        <w:t xml:space="preserve"> de exportación, su valor añadido bruto, su potencial de generación de riqueza y su intensidad en inversión en I+D. También se ha considerado si se trata de un sector de actividad de la salud, tecnologías de la información o economía verde. Además de todas estas consideraciones, dentro de la evaluación competitiva se han analizado dos ámbitos relacionados con el desempeño de los </w:t>
      </w:r>
      <w:r w:rsidR="00DF0FAA">
        <w:rPr>
          <w:sz w:val="24"/>
          <w:szCs w:val="24"/>
          <w:lang w:val="es-ES_tradnl"/>
        </w:rPr>
        <w:t>centros</w:t>
      </w:r>
      <w:r w:rsidRPr="00BE20A7">
        <w:rPr>
          <w:sz w:val="24"/>
          <w:szCs w:val="24"/>
          <w:lang w:val="es-ES_tradnl"/>
        </w:rPr>
        <w:t xml:space="preserve"> en sí: por un lado la consistencia de los resultados y por otro la evolución de las ventas. </w:t>
      </w:r>
    </w:p>
    <w:p w:rsidR="00EA26D8" w:rsidRPr="00BE20A7" w:rsidRDefault="00EA26D8" w:rsidP="00EA26D8">
      <w:pPr>
        <w:spacing w:line="360" w:lineRule="auto"/>
        <w:jc w:val="both"/>
        <w:rPr>
          <w:sz w:val="24"/>
          <w:szCs w:val="24"/>
          <w:lang w:val="es-ES_tradnl"/>
        </w:rPr>
      </w:pPr>
    </w:p>
    <w:p w:rsidR="00EA26D8" w:rsidRDefault="00EA26D8" w:rsidP="00EA26D8">
      <w:pPr>
        <w:spacing w:line="360" w:lineRule="auto"/>
        <w:jc w:val="both"/>
        <w:rPr>
          <w:sz w:val="24"/>
          <w:szCs w:val="24"/>
          <w:lang w:val="es-ES_tradnl"/>
        </w:rPr>
      </w:pPr>
      <w:r w:rsidRPr="00BE20A7">
        <w:rPr>
          <w:sz w:val="24"/>
          <w:szCs w:val="24"/>
          <w:lang w:val="es-ES_tradnl"/>
        </w:rPr>
        <w:t xml:space="preserve">Los </w:t>
      </w:r>
      <w:r w:rsidR="00A95742">
        <w:rPr>
          <w:sz w:val="24"/>
          <w:szCs w:val="24"/>
          <w:lang w:val="es-ES_tradnl"/>
        </w:rPr>
        <w:t>CEEs</w:t>
      </w:r>
      <w:r w:rsidRPr="00BE20A7">
        <w:rPr>
          <w:sz w:val="24"/>
          <w:szCs w:val="24"/>
          <w:lang w:val="es-ES_tradnl"/>
        </w:rPr>
        <w:t xml:space="preserve"> obtienen los mejores resultados de posición competitiva en los ámbitos de potencial de crecimiento, la evolución de las ventas y la consistencia en los resultados. La mitad de los </w:t>
      </w:r>
      <w:r w:rsidR="00A95742">
        <w:rPr>
          <w:sz w:val="24"/>
          <w:szCs w:val="24"/>
          <w:lang w:val="es-ES_tradnl"/>
        </w:rPr>
        <w:t>CEEs</w:t>
      </w:r>
      <w:r w:rsidRPr="00BE20A7">
        <w:rPr>
          <w:sz w:val="24"/>
          <w:szCs w:val="24"/>
          <w:lang w:val="es-ES_tradnl"/>
        </w:rPr>
        <w:t xml:space="preserve"> analizados desarrollan actividades de </w:t>
      </w:r>
      <w:r>
        <w:rPr>
          <w:sz w:val="24"/>
          <w:szCs w:val="24"/>
          <w:lang w:val="es-ES_tradnl"/>
        </w:rPr>
        <w:t xml:space="preserve">elevado </w:t>
      </w:r>
      <w:r w:rsidRPr="00BE20A7">
        <w:rPr>
          <w:sz w:val="24"/>
          <w:szCs w:val="24"/>
          <w:lang w:val="es-ES_tradnl"/>
        </w:rPr>
        <w:t xml:space="preserve">potencial de crecimiento. Asimismo, </w:t>
      </w:r>
      <w:r w:rsidR="00DF0FAA">
        <w:rPr>
          <w:sz w:val="24"/>
          <w:szCs w:val="24"/>
          <w:lang w:val="es-ES_tradnl"/>
        </w:rPr>
        <w:t xml:space="preserve">alrededor de </w:t>
      </w:r>
      <w:r w:rsidRPr="00BE20A7">
        <w:rPr>
          <w:sz w:val="24"/>
          <w:szCs w:val="24"/>
          <w:lang w:val="es-ES_tradnl"/>
        </w:rPr>
        <w:t xml:space="preserve">la mitad de los </w:t>
      </w:r>
      <w:r w:rsidR="00A95742">
        <w:rPr>
          <w:sz w:val="24"/>
          <w:szCs w:val="24"/>
          <w:lang w:val="es-ES_tradnl"/>
        </w:rPr>
        <w:t>CEEs</w:t>
      </w:r>
      <w:r w:rsidRPr="00BE20A7">
        <w:rPr>
          <w:sz w:val="24"/>
          <w:szCs w:val="24"/>
          <w:lang w:val="es-ES_tradnl"/>
        </w:rPr>
        <w:t xml:space="preserve"> han conseguido una evolución positiva de las ventas en el periodo 2011-2012, y </w:t>
      </w:r>
      <w:r w:rsidR="00DF0FAA">
        <w:rPr>
          <w:sz w:val="24"/>
          <w:szCs w:val="24"/>
          <w:lang w:val="es-ES_tradnl"/>
        </w:rPr>
        <w:t>aproximadamente</w:t>
      </w:r>
      <w:r w:rsidRPr="00BE20A7">
        <w:rPr>
          <w:sz w:val="24"/>
          <w:szCs w:val="24"/>
          <w:lang w:val="es-ES_tradnl"/>
        </w:rPr>
        <w:t xml:space="preserve"> la mitad </w:t>
      </w:r>
      <w:r w:rsidR="00A95742">
        <w:rPr>
          <w:sz w:val="24"/>
          <w:szCs w:val="24"/>
          <w:lang w:val="es-ES_tradnl"/>
        </w:rPr>
        <w:t xml:space="preserve">de ellos </w:t>
      </w:r>
      <w:r w:rsidRPr="00BE20A7">
        <w:rPr>
          <w:sz w:val="24"/>
          <w:szCs w:val="24"/>
          <w:lang w:val="es-ES_tradnl"/>
        </w:rPr>
        <w:t xml:space="preserve">han tenido resultados positivos en esos dos años. Estos resultados se pueden considerar excepcionales si se enmarcan dentro de la </w:t>
      </w:r>
      <w:r>
        <w:rPr>
          <w:sz w:val="24"/>
          <w:szCs w:val="24"/>
          <w:lang w:val="es-ES_tradnl"/>
        </w:rPr>
        <w:t xml:space="preserve">situación económica del país </w:t>
      </w:r>
      <w:r w:rsidRPr="00BE20A7">
        <w:rPr>
          <w:sz w:val="24"/>
          <w:szCs w:val="24"/>
          <w:lang w:val="es-ES_tradnl"/>
        </w:rPr>
        <w:t xml:space="preserve">en esos </w:t>
      </w:r>
      <w:r>
        <w:rPr>
          <w:sz w:val="24"/>
          <w:szCs w:val="24"/>
          <w:lang w:val="es-ES_tradnl"/>
        </w:rPr>
        <w:t>años</w:t>
      </w:r>
      <w:r w:rsidRPr="00BE20A7">
        <w:rPr>
          <w:sz w:val="24"/>
          <w:szCs w:val="24"/>
          <w:lang w:val="es-ES_tradnl"/>
        </w:rPr>
        <w:t xml:space="preserve">. </w:t>
      </w:r>
    </w:p>
    <w:p w:rsidR="00EA26D8" w:rsidRPr="00BE20A7" w:rsidRDefault="00EA26D8" w:rsidP="00EA26D8">
      <w:pPr>
        <w:spacing w:line="360" w:lineRule="auto"/>
        <w:jc w:val="both"/>
        <w:rPr>
          <w:sz w:val="24"/>
          <w:szCs w:val="24"/>
          <w:lang w:val="es-ES_tradnl"/>
        </w:rPr>
      </w:pPr>
    </w:p>
    <w:p w:rsidR="00D233DB" w:rsidRDefault="00EA26D8" w:rsidP="00EA26D8">
      <w:pPr>
        <w:spacing w:line="360" w:lineRule="auto"/>
        <w:jc w:val="both"/>
        <w:rPr>
          <w:sz w:val="24"/>
          <w:szCs w:val="24"/>
          <w:lang w:val="es-ES_tradnl"/>
        </w:rPr>
      </w:pPr>
      <w:r w:rsidRPr="00BE20A7">
        <w:rPr>
          <w:sz w:val="24"/>
          <w:szCs w:val="24"/>
          <w:lang w:val="es-ES_tradnl"/>
        </w:rPr>
        <w:t xml:space="preserve">Otro resultado positivo que se extrae de este análisis es que un 21% de los </w:t>
      </w:r>
      <w:r w:rsidR="00DF0FAA">
        <w:rPr>
          <w:sz w:val="24"/>
          <w:szCs w:val="24"/>
          <w:lang w:val="es-ES_tradnl"/>
        </w:rPr>
        <w:t>centros</w:t>
      </w:r>
      <w:r w:rsidRPr="00BE20A7">
        <w:rPr>
          <w:sz w:val="24"/>
          <w:szCs w:val="24"/>
          <w:lang w:val="es-ES_tradnl"/>
        </w:rPr>
        <w:t xml:space="preserve"> analizados desarrolla actividades de alto potencial de exportación y un 25% desarrolla actividades con alta intensidad de inversión en I+D.</w:t>
      </w:r>
    </w:p>
    <w:p w:rsidR="00DF0FAA" w:rsidRDefault="00DF0FAA" w:rsidP="00EA26D8">
      <w:pPr>
        <w:spacing w:line="360" w:lineRule="auto"/>
        <w:jc w:val="both"/>
        <w:rPr>
          <w:sz w:val="24"/>
          <w:szCs w:val="24"/>
          <w:lang w:val="es-ES_tradnl"/>
        </w:rPr>
      </w:pPr>
    </w:p>
    <w:p w:rsidR="003458F7" w:rsidRPr="00BE20A7" w:rsidRDefault="003458F7" w:rsidP="00EA26D8">
      <w:pPr>
        <w:spacing w:line="360" w:lineRule="auto"/>
        <w:jc w:val="both"/>
        <w:rPr>
          <w:sz w:val="24"/>
          <w:szCs w:val="24"/>
          <w:lang w:val="es-ES_tradnl"/>
        </w:rPr>
      </w:pPr>
    </w:p>
    <w:p w:rsidR="00EA26D8" w:rsidRPr="00BE20A7" w:rsidRDefault="00EA26D8" w:rsidP="00EA26D8">
      <w:pPr>
        <w:pBdr>
          <w:top w:val="single" w:sz="4" w:space="1" w:color="auto"/>
        </w:pBdr>
        <w:spacing w:line="360" w:lineRule="auto"/>
        <w:jc w:val="center"/>
        <w:rPr>
          <w:b/>
          <w:color w:val="1F497D" w:themeColor="text2"/>
          <w:sz w:val="20"/>
          <w:lang w:val="es-ES_tradnl"/>
        </w:rPr>
      </w:pPr>
      <w:r w:rsidRPr="00BE20A7">
        <w:rPr>
          <w:b/>
          <w:color w:val="1F497D" w:themeColor="text2"/>
          <w:sz w:val="20"/>
          <w:lang w:val="es-ES_tradnl"/>
        </w:rPr>
        <w:t xml:space="preserve">Porcentaje de </w:t>
      </w:r>
      <w:r w:rsidR="00A95742">
        <w:rPr>
          <w:b/>
          <w:color w:val="1F497D" w:themeColor="text2"/>
          <w:sz w:val="20"/>
          <w:lang w:val="es-ES_tradnl"/>
        </w:rPr>
        <w:t>CEEs</w:t>
      </w:r>
      <w:r w:rsidRPr="00BE20A7">
        <w:rPr>
          <w:b/>
          <w:color w:val="1F497D" w:themeColor="text2"/>
          <w:sz w:val="20"/>
          <w:lang w:val="es-ES_tradnl"/>
        </w:rPr>
        <w:t xml:space="preserve"> que cumplen con los requisitos de posición competitiva establecidos</w:t>
      </w:r>
    </w:p>
    <w:p w:rsidR="00EA26D8" w:rsidRPr="00BE20A7" w:rsidRDefault="00ED6B71" w:rsidP="00EA26D8">
      <w:pPr>
        <w:spacing w:before="360" w:line="360" w:lineRule="auto"/>
      </w:pPr>
      <w:r w:rsidRPr="00ED6B71">
        <w:rPr>
          <w:noProof/>
          <w:lang w:eastAsia="es-ES"/>
        </w:rPr>
        <w:t xml:space="preserve"> </w:t>
      </w:r>
      <w:r>
        <w:rPr>
          <w:noProof/>
          <w:lang w:eastAsia="es-ES"/>
        </w:rPr>
        <w:drawing>
          <wp:inline distT="0" distB="0" distL="0" distR="0">
            <wp:extent cx="5072332" cy="4209690"/>
            <wp:effectExtent l="0" t="0" r="0" b="635"/>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A26D8" w:rsidRPr="00BE20A7" w:rsidRDefault="00EA26D8" w:rsidP="00EA26D8">
      <w:pPr>
        <w:spacing w:before="360" w:line="360" w:lineRule="auto"/>
        <w:rPr>
          <w:sz w:val="20"/>
          <w:lang w:val="es-ES_tradnl"/>
        </w:rPr>
      </w:pPr>
      <w:r w:rsidRPr="00BE20A7">
        <w:rPr>
          <w:sz w:val="20"/>
          <w:lang w:val="es-ES_tradnl"/>
        </w:rPr>
        <w:t>Fuente: elaboración propia</w:t>
      </w:r>
    </w:p>
    <w:p w:rsidR="00EA26D8" w:rsidRDefault="007751C0" w:rsidP="00842404">
      <w:pPr>
        <w:pBdr>
          <w:bottom w:val="single" w:sz="4" w:space="1" w:color="auto"/>
        </w:pBdr>
        <w:autoSpaceDE w:val="0"/>
        <w:autoSpaceDN w:val="0"/>
        <w:spacing w:line="360" w:lineRule="auto"/>
        <w:jc w:val="both"/>
        <w:rPr>
          <w:sz w:val="20"/>
          <w:lang w:val="es-ES_tradnl"/>
        </w:rPr>
      </w:pPr>
      <w:r>
        <w:rPr>
          <w:sz w:val="20"/>
          <w:lang w:val="es-ES_tradnl"/>
        </w:rPr>
        <w:t xml:space="preserve">Nota </w:t>
      </w:r>
      <w:r w:rsidR="00EA26D8" w:rsidRPr="00BE20A7">
        <w:rPr>
          <w:sz w:val="20"/>
          <w:lang w:val="es-ES_tradnl"/>
        </w:rPr>
        <w:t xml:space="preserve">explicativa de la gráfica: el gráfico refleja el porcentaje de </w:t>
      </w:r>
      <w:r w:rsidR="00A95742">
        <w:rPr>
          <w:sz w:val="20"/>
          <w:lang w:val="es-ES_tradnl"/>
        </w:rPr>
        <w:t>CEEs</w:t>
      </w:r>
      <w:r w:rsidR="00EA26D8" w:rsidRPr="00BE20A7">
        <w:rPr>
          <w:sz w:val="20"/>
          <w:lang w:val="es-ES_tradnl"/>
        </w:rPr>
        <w:t xml:space="preserve"> que cumplen con cada uno de los estándares de posición competitiva establecidos. Un 50% de los </w:t>
      </w:r>
      <w:r w:rsidR="00A95742">
        <w:rPr>
          <w:sz w:val="20"/>
          <w:lang w:val="es-ES_tradnl"/>
        </w:rPr>
        <w:t>CEEs</w:t>
      </w:r>
      <w:r w:rsidR="00EA26D8" w:rsidRPr="00BE20A7">
        <w:rPr>
          <w:sz w:val="20"/>
          <w:lang w:val="es-ES_tradnl"/>
        </w:rPr>
        <w:t xml:space="preserve"> pertenece a sectores de alto potencial de crecimiento. Un 21% de ellos pertenece a sectores de alto potencial de exportación. Un 8% desarrolla actividades en el ámbito de la salud, la tecnología de la información y la economía verde. Un 11% desarrolla actividades de muy alto Valor Añadido Bruto por empleado. Un 15% de los </w:t>
      </w:r>
      <w:r w:rsidR="00A95742">
        <w:rPr>
          <w:sz w:val="20"/>
          <w:lang w:val="es-ES_tradnl"/>
        </w:rPr>
        <w:t>CEEs</w:t>
      </w:r>
      <w:r w:rsidR="00EA26D8" w:rsidRPr="00BE20A7">
        <w:rPr>
          <w:sz w:val="20"/>
          <w:lang w:val="es-ES_tradnl"/>
        </w:rPr>
        <w:t xml:space="preserve"> pertenecen a sectores de actividad de muy alto potencia</w:t>
      </w:r>
      <w:r w:rsidR="008D5C37">
        <w:rPr>
          <w:sz w:val="20"/>
          <w:lang w:val="es-ES_tradnl"/>
        </w:rPr>
        <w:t>l de generación de riqueza</w:t>
      </w:r>
      <w:r w:rsidR="00EA26D8" w:rsidRPr="00BE20A7">
        <w:rPr>
          <w:sz w:val="20"/>
          <w:lang w:val="es-ES_tradnl"/>
        </w:rPr>
        <w:t xml:space="preserve">. Un 49% de los </w:t>
      </w:r>
      <w:r w:rsidR="00A95742">
        <w:rPr>
          <w:sz w:val="20"/>
          <w:lang w:val="es-ES_tradnl"/>
        </w:rPr>
        <w:t>CEEs</w:t>
      </w:r>
      <w:r w:rsidR="00EA26D8" w:rsidRPr="00BE20A7">
        <w:rPr>
          <w:sz w:val="20"/>
          <w:lang w:val="es-ES_tradnl"/>
        </w:rPr>
        <w:t xml:space="preserve"> han tenido una evolución positiva de las ventas entre 2011 y 2012, y un 46% han tenido resultados positivos tanto en 2011 como en 2012. Un 25% de los </w:t>
      </w:r>
      <w:r w:rsidR="00A95742">
        <w:rPr>
          <w:sz w:val="20"/>
          <w:lang w:val="es-ES_tradnl"/>
        </w:rPr>
        <w:t>CEEs</w:t>
      </w:r>
      <w:r w:rsidR="00EA26D8" w:rsidRPr="00BE20A7">
        <w:rPr>
          <w:sz w:val="20"/>
          <w:lang w:val="es-ES_tradnl"/>
        </w:rPr>
        <w:t xml:space="preserve"> se encuentran en sectores de actividad con alta intensidad de inversión en I+D.</w:t>
      </w:r>
    </w:p>
    <w:p w:rsidR="00730902" w:rsidRDefault="00730902" w:rsidP="00730902">
      <w:pPr>
        <w:autoSpaceDE w:val="0"/>
        <w:autoSpaceDN w:val="0"/>
        <w:spacing w:line="360" w:lineRule="auto"/>
        <w:jc w:val="both"/>
        <w:rPr>
          <w:sz w:val="20"/>
          <w:lang w:val="es-ES_tradnl"/>
        </w:rPr>
      </w:pPr>
      <w:r>
        <w:rPr>
          <w:sz w:val="20"/>
          <w:lang w:val="es-ES_tradnl"/>
        </w:rPr>
        <w:t>Datos de 2011-2012</w:t>
      </w:r>
    </w:p>
    <w:p w:rsidR="00EA26D8" w:rsidRPr="00DA4207" w:rsidRDefault="00EA26D8" w:rsidP="00DA4207">
      <w:pPr>
        <w:spacing w:before="360" w:line="360" w:lineRule="auto"/>
        <w:jc w:val="both"/>
        <w:rPr>
          <w:sz w:val="24"/>
          <w:szCs w:val="24"/>
          <w:lang w:val="es-ES_tradnl"/>
        </w:rPr>
      </w:pPr>
      <w:r>
        <w:rPr>
          <w:sz w:val="24"/>
          <w:szCs w:val="24"/>
          <w:lang w:val="es-ES_tradnl"/>
        </w:rPr>
        <w:t>No e</w:t>
      </w:r>
      <w:r w:rsidRPr="00BE20A7">
        <w:rPr>
          <w:sz w:val="24"/>
          <w:szCs w:val="24"/>
          <w:lang w:val="es-ES_tradnl"/>
        </w:rPr>
        <w:t xml:space="preserve">xisten grandes diferencias en los resultados de indicadores específicos entre los </w:t>
      </w:r>
      <w:r w:rsidR="00DF0FAA">
        <w:rPr>
          <w:sz w:val="24"/>
          <w:szCs w:val="24"/>
          <w:lang w:val="es-ES_tradnl"/>
        </w:rPr>
        <w:t xml:space="preserve">centros </w:t>
      </w:r>
      <w:r w:rsidRPr="00BE20A7">
        <w:rPr>
          <w:sz w:val="24"/>
          <w:szCs w:val="24"/>
          <w:lang w:val="es-ES_tradnl"/>
        </w:rPr>
        <w:t xml:space="preserve">de iniciativa social y los de </w:t>
      </w:r>
      <w:r w:rsidR="003D6D08">
        <w:rPr>
          <w:sz w:val="24"/>
          <w:szCs w:val="24"/>
          <w:lang w:val="es-ES_tradnl"/>
        </w:rPr>
        <w:t>iniciativa empresarial</w:t>
      </w:r>
      <w:r w:rsidRPr="00BE20A7">
        <w:rPr>
          <w:sz w:val="24"/>
          <w:szCs w:val="24"/>
          <w:lang w:val="es-ES_tradnl"/>
        </w:rPr>
        <w:t xml:space="preserve">. Las diferencias más significativas se aprecian en los resultados obtenidos en el área de intensidad en inversión en I+D y la pertenencia a sectores de la salud, tecnologías de la información y economía verde, </w:t>
      </w:r>
      <w:r>
        <w:rPr>
          <w:sz w:val="24"/>
          <w:szCs w:val="24"/>
          <w:lang w:val="es-ES_tradnl"/>
        </w:rPr>
        <w:t>con mayor presencia de l</w:t>
      </w:r>
      <w:r w:rsidR="00DA4207">
        <w:rPr>
          <w:sz w:val="24"/>
          <w:szCs w:val="24"/>
          <w:lang w:val="es-ES_tradnl"/>
        </w:rPr>
        <w:t xml:space="preserve">os de iniciativa social. </w:t>
      </w:r>
      <w:r w:rsidRPr="00BE20A7">
        <w:rPr>
          <w:sz w:val="24"/>
          <w:szCs w:val="24"/>
          <w:lang w:val="es-ES_tradnl"/>
        </w:rPr>
        <w:t xml:space="preserve">Por su parte, </w:t>
      </w:r>
      <w:r>
        <w:rPr>
          <w:sz w:val="24"/>
          <w:szCs w:val="24"/>
          <w:lang w:val="es-ES_tradnl"/>
        </w:rPr>
        <w:t xml:space="preserve">los de </w:t>
      </w:r>
      <w:r w:rsidR="003D6D08">
        <w:rPr>
          <w:sz w:val="24"/>
          <w:szCs w:val="24"/>
          <w:lang w:val="es-ES_tradnl"/>
        </w:rPr>
        <w:t>iniciativa empresarial</w:t>
      </w:r>
      <w:r>
        <w:rPr>
          <w:sz w:val="24"/>
          <w:szCs w:val="24"/>
          <w:lang w:val="es-ES_tradnl"/>
        </w:rPr>
        <w:t xml:space="preserve"> </w:t>
      </w:r>
      <w:r w:rsidRPr="00BE20A7">
        <w:rPr>
          <w:sz w:val="24"/>
          <w:szCs w:val="24"/>
          <w:lang w:val="es-ES_tradnl"/>
        </w:rPr>
        <w:t>muestra</w:t>
      </w:r>
      <w:r>
        <w:rPr>
          <w:sz w:val="24"/>
          <w:szCs w:val="24"/>
          <w:lang w:val="es-ES_tradnl"/>
        </w:rPr>
        <w:t>n</w:t>
      </w:r>
      <w:r w:rsidRPr="00BE20A7">
        <w:rPr>
          <w:sz w:val="24"/>
          <w:szCs w:val="24"/>
          <w:lang w:val="es-ES_tradnl"/>
        </w:rPr>
        <w:t xml:space="preserve"> mejor </w:t>
      </w:r>
      <w:r>
        <w:rPr>
          <w:sz w:val="24"/>
          <w:szCs w:val="24"/>
          <w:lang w:val="es-ES_tradnl"/>
        </w:rPr>
        <w:t xml:space="preserve">posición en lo que se refiere a </w:t>
      </w:r>
      <w:r w:rsidRPr="00BE20A7">
        <w:rPr>
          <w:sz w:val="24"/>
          <w:szCs w:val="24"/>
          <w:lang w:val="es-ES_tradnl"/>
        </w:rPr>
        <w:t xml:space="preserve">la evolución de las ventas y </w:t>
      </w:r>
      <w:r>
        <w:rPr>
          <w:sz w:val="24"/>
          <w:szCs w:val="24"/>
          <w:lang w:val="es-ES_tradnl"/>
        </w:rPr>
        <w:t>a</w:t>
      </w:r>
      <w:r w:rsidRPr="00BE20A7">
        <w:rPr>
          <w:sz w:val="24"/>
          <w:szCs w:val="24"/>
          <w:lang w:val="es-ES_tradnl"/>
        </w:rPr>
        <w:t xml:space="preserve"> la pertenencia a sectores de alto potencial de exportación.</w:t>
      </w:r>
    </w:p>
    <w:p w:rsidR="004464EF" w:rsidRDefault="004464EF" w:rsidP="008603D6">
      <w:pPr>
        <w:autoSpaceDE w:val="0"/>
        <w:autoSpaceDN w:val="0"/>
        <w:spacing w:line="360" w:lineRule="auto"/>
        <w:jc w:val="both"/>
        <w:rPr>
          <w:sz w:val="24"/>
          <w:szCs w:val="24"/>
          <w:lang w:val="es-ES_tradnl"/>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360"/>
        <w:gridCol w:w="4360"/>
      </w:tblGrid>
      <w:tr w:rsidR="004464EF" w:rsidRPr="00194813" w:rsidTr="00585D05">
        <w:tc>
          <w:tcPr>
            <w:tcW w:w="4360" w:type="dxa"/>
          </w:tcPr>
          <w:p w:rsidR="004464EF" w:rsidRPr="00EA26D8" w:rsidRDefault="004464EF" w:rsidP="00344521">
            <w:pPr>
              <w:spacing w:line="360" w:lineRule="auto"/>
              <w:jc w:val="both"/>
              <w:rPr>
                <w:b/>
                <w:sz w:val="20"/>
                <w:lang w:val="es-ES_tradnl"/>
              </w:rPr>
            </w:pPr>
            <w:r w:rsidRPr="00EA26D8">
              <w:rPr>
                <w:b/>
                <w:sz w:val="20"/>
                <w:lang w:val="es-ES_tradnl"/>
              </w:rPr>
              <w:t>Fortalezas</w:t>
            </w:r>
          </w:p>
          <w:p w:rsidR="004464EF" w:rsidRDefault="00AD1076" w:rsidP="00344521">
            <w:pPr>
              <w:pStyle w:val="Prrafodelista"/>
              <w:numPr>
                <w:ilvl w:val="0"/>
                <w:numId w:val="32"/>
              </w:numPr>
              <w:spacing w:line="360" w:lineRule="auto"/>
              <w:jc w:val="both"/>
              <w:rPr>
                <w:sz w:val="20"/>
                <w:lang w:val="es-ES_tradnl"/>
              </w:rPr>
            </w:pPr>
            <w:r>
              <w:rPr>
                <w:sz w:val="20"/>
                <w:lang w:val="es-ES_tradnl"/>
              </w:rPr>
              <w:t xml:space="preserve">Un </w:t>
            </w:r>
            <w:r w:rsidR="00585D05">
              <w:rPr>
                <w:sz w:val="20"/>
                <w:lang w:val="es-ES_tradnl"/>
              </w:rPr>
              <w:t>número significativo</w:t>
            </w:r>
            <w:r>
              <w:rPr>
                <w:sz w:val="20"/>
                <w:lang w:val="es-ES_tradnl"/>
              </w:rPr>
              <w:t xml:space="preserve"> de los </w:t>
            </w:r>
            <w:r w:rsidR="00D53815">
              <w:rPr>
                <w:sz w:val="20"/>
                <w:lang w:val="es-ES_tradnl"/>
              </w:rPr>
              <w:t xml:space="preserve">centros especiales de empleo </w:t>
            </w:r>
            <w:r>
              <w:rPr>
                <w:sz w:val="20"/>
                <w:lang w:val="es-ES_tradnl"/>
              </w:rPr>
              <w:t>se sitúan en industrias de alto potencial de crecimiento, un dato esperanzador con vistas a la creación de empleo para personas con discapacidad en los próximos años.</w:t>
            </w:r>
          </w:p>
          <w:p w:rsidR="00AD1076" w:rsidRPr="00EA26D8" w:rsidRDefault="00AD1076" w:rsidP="00FE32B8">
            <w:pPr>
              <w:pStyle w:val="Prrafodelista"/>
              <w:numPr>
                <w:ilvl w:val="0"/>
                <w:numId w:val="32"/>
              </w:numPr>
              <w:spacing w:line="360" w:lineRule="auto"/>
              <w:jc w:val="both"/>
              <w:rPr>
                <w:sz w:val="20"/>
                <w:lang w:val="es-ES_tradnl"/>
              </w:rPr>
            </w:pPr>
            <w:r>
              <w:rPr>
                <w:sz w:val="20"/>
                <w:lang w:val="es-ES_tradnl"/>
              </w:rPr>
              <w:t xml:space="preserve">En el contexto de crisis económica, </w:t>
            </w:r>
            <w:r w:rsidR="00FE32B8">
              <w:rPr>
                <w:sz w:val="20"/>
                <w:lang w:val="es-ES_tradnl"/>
              </w:rPr>
              <w:t>buena parte</w:t>
            </w:r>
            <w:r>
              <w:rPr>
                <w:sz w:val="20"/>
                <w:lang w:val="es-ES_tradnl"/>
              </w:rPr>
              <w:t xml:space="preserve"> de los </w:t>
            </w:r>
            <w:r w:rsidR="00FE32B8">
              <w:rPr>
                <w:sz w:val="20"/>
                <w:lang w:val="es-ES_tradnl"/>
              </w:rPr>
              <w:t>centros</w:t>
            </w:r>
            <w:r>
              <w:rPr>
                <w:sz w:val="20"/>
                <w:lang w:val="es-ES_tradnl"/>
              </w:rPr>
              <w:t xml:space="preserve"> (la mitad aproximadamente) han conseguido mantener una evolución positiva de las ventas así como resultados globales positivos.</w:t>
            </w:r>
          </w:p>
        </w:tc>
        <w:tc>
          <w:tcPr>
            <w:tcW w:w="4360" w:type="dxa"/>
          </w:tcPr>
          <w:p w:rsidR="004464EF" w:rsidRPr="00EA26D8" w:rsidRDefault="004464EF" w:rsidP="00344521">
            <w:pPr>
              <w:spacing w:line="360" w:lineRule="auto"/>
              <w:jc w:val="both"/>
              <w:rPr>
                <w:b/>
                <w:sz w:val="20"/>
                <w:lang w:val="es-ES_tradnl"/>
              </w:rPr>
            </w:pPr>
            <w:r w:rsidRPr="00EA26D8">
              <w:rPr>
                <w:b/>
                <w:sz w:val="20"/>
                <w:lang w:val="es-ES_tradnl"/>
              </w:rPr>
              <w:t>Debilidades</w:t>
            </w:r>
          </w:p>
          <w:p w:rsidR="004464EF" w:rsidRDefault="00DF0FAA" w:rsidP="00344521">
            <w:pPr>
              <w:pStyle w:val="Prrafodelista"/>
              <w:numPr>
                <w:ilvl w:val="0"/>
                <w:numId w:val="33"/>
              </w:numPr>
              <w:spacing w:line="360" w:lineRule="auto"/>
              <w:jc w:val="both"/>
              <w:rPr>
                <w:sz w:val="20"/>
                <w:lang w:val="es-ES_tradnl"/>
              </w:rPr>
            </w:pPr>
            <w:r>
              <w:rPr>
                <w:sz w:val="20"/>
                <w:lang w:val="es-ES_tradnl"/>
              </w:rPr>
              <w:t xml:space="preserve">Un reducido número </w:t>
            </w:r>
            <w:r w:rsidR="00CE7667">
              <w:rPr>
                <w:sz w:val="20"/>
                <w:lang w:val="es-ES_tradnl"/>
              </w:rPr>
              <w:t xml:space="preserve">se dedican a actividades de sectores de alto potencial de exportación, o de alto valor añadido bruto por empleado. </w:t>
            </w:r>
          </w:p>
          <w:p w:rsidR="00CE7667" w:rsidRPr="00EA26D8" w:rsidRDefault="00EA49B8" w:rsidP="00BF1871">
            <w:pPr>
              <w:pStyle w:val="Prrafodelista"/>
              <w:numPr>
                <w:ilvl w:val="0"/>
                <w:numId w:val="33"/>
              </w:numPr>
              <w:spacing w:line="360" w:lineRule="auto"/>
              <w:jc w:val="both"/>
              <w:rPr>
                <w:sz w:val="20"/>
                <w:lang w:val="es-ES_tradnl"/>
              </w:rPr>
            </w:pPr>
            <w:r>
              <w:rPr>
                <w:sz w:val="20"/>
                <w:lang w:val="es-ES_tradnl"/>
              </w:rPr>
              <w:t>No</w:t>
            </w:r>
            <w:r w:rsidR="00CE7667">
              <w:rPr>
                <w:sz w:val="20"/>
                <w:lang w:val="es-ES_tradnl"/>
              </w:rPr>
              <w:t xml:space="preserve"> hay </w:t>
            </w:r>
            <w:r w:rsidR="00BF1871">
              <w:rPr>
                <w:sz w:val="20"/>
                <w:lang w:val="es-ES_tradnl"/>
              </w:rPr>
              <w:t>demasiados</w:t>
            </w:r>
            <w:r w:rsidR="00CE7667">
              <w:rPr>
                <w:sz w:val="20"/>
                <w:lang w:val="es-ES_tradnl"/>
              </w:rPr>
              <w:t xml:space="preserve"> </w:t>
            </w:r>
            <w:r w:rsidR="00DF0FAA">
              <w:rPr>
                <w:sz w:val="20"/>
                <w:lang w:val="es-ES_tradnl"/>
              </w:rPr>
              <w:t>centros en</w:t>
            </w:r>
            <w:r w:rsidR="00CE7667">
              <w:rPr>
                <w:sz w:val="20"/>
                <w:lang w:val="es-ES_tradnl"/>
              </w:rPr>
              <w:t xml:space="preserve"> actividades de la salud, las tecnologías de la información y de la economía verde</w:t>
            </w:r>
            <w:r w:rsidR="001C44AD">
              <w:rPr>
                <w:sz w:val="20"/>
                <w:lang w:val="es-ES_tradnl"/>
              </w:rPr>
              <w:t>, lo que puede considerarse una oportunidad que no se está aprovechando.</w:t>
            </w:r>
          </w:p>
        </w:tc>
      </w:tr>
      <w:tr w:rsidR="00E91993" w:rsidRPr="00194813" w:rsidTr="00585D05">
        <w:tc>
          <w:tcPr>
            <w:tcW w:w="8720" w:type="dxa"/>
            <w:gridSpan w:val="2"/>
          </w:tcPr>
          <w:p w:rsidR="00E91993" w:rsidRDefault="00E91993" w:rsidP="00E91993">
            <w:pPr>
              <w:spacing w:line="360" w:lineRule="auto"/>
              <w:jc w:val="both"/>
              <w:rPr>
                <w:b/>
                <w:sz w:val="20"/>
                <w:lang w:val="es-ES_tradnl"/>
              </w:rPr>
            </w:pPr>
            <w:r w:rsidRPr="007B3767">
              <w:rPr>
                <w:b/>
                <w:sz w:val="20"/>
                <w:lang w:val="es-ES_tradnl"/>
              </w:rPr>
              <w:t>Áreas para avanzar</w:t>
            </w:r>
            <w:r>
              <w:rPr>
                <w:b/>
                <w:sz w:val="20"/>
                <w:lang w:val="es-ES_tradnl"/>
              </w:rPr>
              <w:t xml:space="preserve"> </w:t>
            </w:r>
          </w:p>
          <w:p w:rsidR="00E91993" w:rsidRPr="00046EC0" w:rsidRDefault="00E91993" w:rsidP="00E91993">
            <w:pPr>
              <w:pStyle w:val="Prrafodelista"/>
              <w:numPr>
                <w:ilvl w:val="0"/>
                <w:numId w:val="33"/>
              </w:numPr>
              <w:spacing w:line="360" w:lineRule="auto"/>
              <w:jc w:val="both"/>
              <w:rPr>
                <w:sz w:val="20"/>
                <w:lang w:val="es-ES_tradnl"/>
              </w:rPr>
            </w:pPr>
            <w:r>
              <w:rPr>
                <w:sz w:val="20"/>
                <w:lang w:val="es-ES_tradnl"/>
              </w:rPr>
              <w:t xml:space="preserve">Dado que las actividades de la salud, las tecnologías de la información y la economía verde están experimentando un gran desarrollo, los </w:t>
            </w:r>
            <w:r w:rsidR="00DF0FAA">
              <w:rPr>
                <w:sz w:val="20"/>
                <w:lang w:val="es-ES_tradnl"/>
              </w:rPr>
              <w:t xml:space="preserve">centros </w:t>
            </w:r>
            <w:r>
              <w:rPr>
                <w:sz w:val="20"/>
                <w:lang w:val="es-ES_tradnl"/>
              </w:rPr>
              <w:t xml:space="preserve">tienen margen para aprovechar ese impulso </w:t>
            </w:r>
            <w:r w:rsidR="00DF0FAA">
              <w:rPr>
                <w:sz w:val="20"/>
                <w:lang w:val="es-ES_tradnl"/>
              </w:rPr>
              <w:t>a favor de</w:t>
            </w:r>
            <w:r>
              <w:rPr>
                <w:sz w:val="20"/>
                <w:lang w:val="es-ES_tradnl"/>
              </w:rPr>
              <w:t>l empleo de las personas con discapacidad.</w:t>
            </w:r>
          </w:p>
          <w:p w:rsidR="00E91993" w:rsidRPr="00EA26D8" w:rsidRDefault="00E91993" w:rsidP="00344521">
            <w:pPr>
              <w:spacing w:line="360" w:lineRule="auto"/>
              <w:jc w:val="both"/>
              <w:rPr>
                <w:b/>
                <w:sz w:val="20"/>
                <w:lang w:val="es-ES_tradnl"/>
              </w:rPr>
            </w:pPr>
          </w:p>
        </w:tc>
      </w:tr>
    </w:tbl>
    <w:p w:rsidR="000701FC" w:rsidRPr="00BE20A7" w:rsidRDefault="000701FC" w:rsidP="000701FC">
      <w:pPr>
        <w:pStyle w:val="Ttulo2"/>
        <w:rPr>
          <w:lang w:val="es-ES_tradnl"/>
        </w:rPr>
      </w:pPr>
      <w:bookmarkStart w:id="231" w:name="_Toc410916876"/>
      <w:r w:rsidRPr="00BE20A7">
        <w:rPr>
          <w:lang w:val="es-ES_tradnl"/>
        </w:rPr>
        <w:t>Evaluación de Impacto Social</w:t>
      </w:r>
      <w:bookmarkEnd w:id="231"/>
    </w:p>
    <w:p w:rsidR="000701FC" w:rsidRPr="00BE20A7" w:rsidRDefault="000701FC" w:rsidP="000701FC">
      <w:pPr>
        <w:tabs>
          <w:tab w:val="left" w:pos="5103"/>
          <w:tab w:val="left" w:pos="5529"/>
        </w:tabs>
        <w:spacing w:line="360" w:lineRule="auto"/>
        <w:rPr>
          <w:sz w:val="24"/>
          <w:szCs w:val="24"/>
          <w:lang w:val="es-ES_tradnl"/>
        </w:rPr>
      </w:pPr>
    </w:p>
    <w:p w:rsidR="000701FC" w:rsidRPr="00BE20A7" w:rsidRDefault="000701FC" w:rsidP="000701FC">
      <w:pPr>
        <w:tabs>
          <w:tab w:val="left" w:pos="5103"/>
          <w:tab w:val="left" w:pos="5529"/>
        </w:tabs>
        <w:spacing w:line="360" w:lineRule="auto"/>
        <w:jc w:val="both"/>
        <w:rPr>
          <w:sz w:val="24"/>
          <w:szCs w:val="24"/>
          <w:lang w:val="es-ES_tradnl"/>
        </w:rPr>
      </w:pPr>
      <w:r w:rsidRPr="00BE20A7">
        <w:rPr>
          <w:sz w:val="24"/>
          <w:szCs w:val="24"/>
          <w:lang w:val="es-ES_tradnl"/>
        </w:rPr>
        <w:t xml:space="preserve">En el análisis de impacto social se ha evaluado la capacidad </w:t>
      </w:r>
      <w:r w:rsidR="00DF0FAA">
        <w:rPr>
          <w:sz w:val="24"/>
          <w:szCs w:val="24"/>
          <w:lang w:val="es-ES_tradnl"/>
        </w:rPr>
        <w:t>de los centros</w:t>
      </w:r>
      <w:r w:rsidRPr="00BE20A7">
        <w:rPr>
          <w:sz w:val="24"/>
          <w:szCs w:val="24"/>
          <w:lang w:val="es-ES_tradnl"/>
        </w:rPr>
        <w:t xml:space="preserve"> de influir positivamente en el colectivo de las personas con discapacidad, a través de indicadores como el empleo o la equidad salarial. Esta sección del análisis también pretende poner en valor la contribución de los </w:t>
      </w:r>
      <w:r w:rsidR="00DF0FAA">
        <w:rPr>
          <w:sz w:val="24"/>
          <w:szCs w:val="24"/>
          <w:lang w:val="es-ES_tradnl"/>
        </w:rPr>
        <w:t>centro</w:t>
      </w:r>
      <w:r w:rsidR="00A95742">
        <w:rPr>
          <w:sz w:val="24"/>
          <w:szCs w:val="24"/>
          <w:lang w:val="es-ES_tradnl"/>
        </w:rPr>
        <w:t>s</w:t>
      </w:r>
      <w:r w:rsidRPr="00BE20A7">
        <w:rPr>
          <w:sz w:val="24"/>
          <w:szCs w:val="24"/>
          <w:lang w:val="es-ES_tradnl"/>
        </w:rPr>
        <w:t xml:space="preserve"> </w:t>
      </w:r>
      <w:r w:rsidR="00D233DB">
        <w:rPr>
          <w:sz w:val="24"/>
          <w:szCs w:val="24"/>
          <w:lang w:val="es-ES_tradnl"/>
        </w:rPr>
        <w:t>a</w:t>
      </w:r>
      <w:r w:rsidRPr="00BE20A7">
        <w:rPr>
          <w:sz w:val="24"/>
          <w:szCs w:val="24"/>
          <w:lang w:val="es-ES_tradnl"/>
        </w:rPr>
        <w:t xml:space="preserve"> la economía y la sociedad en su conjunto a través de indicadores como la dinamización de entornos rurales. </w:t>
      </w:r>
    </w:p>
    <w:p w:rsidR="000701FC" w:rsidRPr="00BE20A7" w:rsidRDefault="000701FC" w:rsidP="000701FC">
      <w:pPr>
        <w:tabs>
          <w:tab w:val="left" w:pos="5103"/>
          <w:tab w:val="left" w:pos="5529"/>
        </w:tabs>
        <w:spacing w:line="360" w:lineRule="auto"/>
        <w:jc w:val="both"/>
        <w:rPr>
          <w:sz w:val="24"/>
          <w:szCs w:val="24"/>
          <w:lang w:val="es-ES_tradnl"/>
        </w:rPr>
      </w:pPr>
    </w:p>
    <w:p w:rsidR="000701FC" w:rsidRDefault="000701FC" w:rsidP="00046EC0">
      <w:pPr>
        <w:pBdr>
          <w:bottom w:val="single" w:sz="4" w:space="1" w:color="auto"/>
        </w:pBdr>
        <w:spacing w:line="360" w:lineRule="auto"/>
        <w:jc w:val="both"/>
        <w:rPr>
          <w:sz w:val="24"/>
          <w:szCs w:val="24"/>
          <w:lang w:val="es-ES_tradnl"/>
        </w:rPr>
      </w:pPr>
      <w:r w:rsidRPr="00BE20A7">
        <w:rPr>
          <w:sz w:val="24"/>
          <w:szCs w:val="24"/>
          <w:lang w:val="es-ES_tradnl"/>
        </w:rPr>
        <w:t xml:space="preserve">La conclusión de esta </w:t>
      </w:r>
      <w:r w:rsidR="00073BA7">
        <w:rPr>
          <w:sz w:val="24"/>
          <w:szCs w:val="24"/>
          <w:lang w:val="es-ES_tradnl"/>
        </w:rPr>
        <w:t>sección</w:t>
      </w:r>
      <w:r w:rsidRPr="00BE20A7">
        <w:rPr>
          <w:sz w:val="24"/>
          <w:szCs w:val="24"/>
          <w:lang w:val="es-ES_tradnl"/>
        </w:rPr>
        <w:t xml:space="preserve"> de la evaluación es que los </w:t>
      </w:r>
      <w:r w:rsidR="00263316">
        <w:rPr>
          <w:sz w:val="24"/>
          <w:szCs w:val="24"/>
          <w:lang w:val="es-ES_tradnl"/>
        </w:rPr>
        <w:t>CEEs</w:t>
      </w:r>
      <w:r w:rsidRPr="00BE20A7">
        <w:rPr>
          <w:sz w:val="24"/>
          <w:szCs w:val="24"/>
          <w:lang w:val="es-ES_tradnl"/>
        </w:rPr>
        <w:t xml:space="preserve"> generan un enorme impacto social. Casi la totalidad de </w:t>
      </w:r>
      <w:r w:rsidR="00D53815">
        <w:rPr>
          <w:sz w:val="24"/>
          <w:szCs w:val="24"/>
          <w:lang w:val="es-ES_tradnl"/>
        </w:rPr>
        <w:t>ellos—un 93%</w:t>
      </w:r>
      <w:r w:rsidRPr="00BE20A7">
        <w:rPr>
          <w:sz w:val="24"/>
          <w:szCs w:val="24"/>
          <w:lang w:val="es-ES_tradnl"/>
        </w:rPr>
        <w:t>—</w:t>
      </w:r>
      <w:r w:rsidR="00DF0FAA">
        <w:rPr>
          <w:sz w:val="24"/>
          <w:szCs w:val="24"/>
          <w:lang w:val="es-ES_tradnl"/>
        </w:rPr>
        <w:t xml:space="preserve">superan </w:t>
      </w:r>
      <w:r w:rsidRPr="00BE20A7">
        <w:rPr>
          <w:sz w:val="24"/>
          <w:szCs w:val="24"/>
          <w:lang w:val="es-ES_tradnl"/>
        </w:rPr>
        <w:t>el exigente análisis</w:t>
      </w:r>
      <w:r>
        <w:rPr>
          <w:sz w:val="24"/>
          <w:szCs w:val="24"/>
          <w:lang w:val="es-ES_tradnl"/>
        </w:rPr>
        <w:t xml:space="preserve"> establecido en este ámbito</w:t>
      </w:r>
      <w:r w:rsidRPr="00BE20A7">
        <w:rPr>
          <w:sz w:val="24"/>
          <w:szCs w:val="24"/>
          <w:lang w:val="es-ES_tradnl"/>
        </w:rPr>
        <w:t xml:space="preserve">. </w:t>
      </w:r>
    </w:p>
    <w:p w:rsidR="00163CD7" w:rsidRPr="00BE20A7" w:rsidRDefault="00163CD7" w:rsidP="00046EC0">
      <w:pPr>
        <w:pBdr>
          <w:bottom w:val="single" w:sz="4" w:space="1" w:color="auto"/>
        </w:pBdr>
        <w:spacing w:line="360" w:lineRule="auto"/>
        <w:jc w:val="both"/>
        <w:rPr>
          <w:sz w:val="24"/>
          <w:szCs w:val="24"/>
          <w:lang w:val="es-ES_tradnl"/>
        </w:rPr>
      </w:pPr>
    </w:p>
    <w:p w:rsidR="000701FC" w:rsidRPr="00BE20A7" w:rsidRDefault="006814BD" w:rsidP="000701FC">
      <w:pPr>
        <w:spacing w:before="360" w:line="360" w:lineRule="auto"/>
        <w:ind w:left="851"/>
      </w:pPr>
      <w:r w:rsidRPr="006814BD">
        <w:rPr>
          <w:noProof/>
          <w:lang w:eastAsia="es-ES"/>
        </w:rPr>
        <w:t xml:space="preserve"> </w:t>
      </w:r>
      <w:r>
        <w:rPr>
          <w:noProof/>
          <w:lang w:eastAsia="es-ES"/>
        </w:rPr>
        <w:drawing>
          <wp:inline distT="0" distB="0" distL="0" distR="0">
            <wp:extent cx="3338195" cy="2305050"/>
            <wp:effectExtent l="0" t="0" r="0" b="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01FC" w:rsidRPr="00BE20A7" w:rsidRDefault="000701FC" w:rsidP="00842404">
      <w:pPr>
        <w:autoSpaceDE w:val="0"/>
        <w:autoSpaceDN w:val="0"/>
        <w:spacing w:line="360" w:lineRule="auto"/>
        <w:jc w:val="both"/>
        <w:rPr>
          <w:sz w:val="20"/>
        </w:rPr>
      </w:pPr>
      <w:r w:rsidRPr="00BE20A7">
        <w:rPr>
          <w:sz w:val="20"/>
        </w:rPr>
        <w:t>Fuente: Elaboración propia</w:t>
      </w:r>
    </w:p>
    <w:p w:rsidR="000701FC" w:rsidRPr="00BE20A7" w:rsidRDefault="007751C0" w:rsidP="00842404">
      <w:pPr>
        <w:pBdr>
          <w:bottom w:val="single" w:sz="4" w:space="1" w:color="auto"/>
        </w:pBdr>
        <w:autoSpaceDE w:val="0"/>
        <w:autoSpaceDN w:val="0"/>
        <w:spacing w:line="360" w:lineRule="auto"/>
        <w:jc w:val="both"/>
        <w:rPr>
          <w:sz w:val="20"/>
        </w:rPr>
      </w:pPr>
      <w:r>
        <w:rPr>
          <w:sz w:val="20"/>
        </w:rPr>
        <w:t xml:space="preserve">Nota </w:t>
      </w:r>
      <w:r w:rsidR="000701FC" w:rsidRPr="00BE20A7">
        <w:rPr>
          <w:sz w:val="20"/>
        </w:rPr>
        <w:t xml:space="preserve">explicativa de la gráfica: Un 93% de los </w:t>
      </w:r>
      <w:r w:rsidR="00A95742">
        <w:rPr>
          <w:sz w:val="20"/>
        </w:rPr>
        <w:t>CEEs</w:t>
      </w:r>
      <w:r w:rsidR="000701FC" w:rsidRPr="00BE20A7">
        <w:rPr>
          <w:sz w:val="20"/>
        </w:rPr>
        <w:t xml:space="preserve"> analizados </w:t>
      </w:r>
      <w:r w:rsidR="00030645">
        <w:rPr>
          <w:sz w:val="20"/>
        </w:rPr>
        <w:t>obtienen</w:t>
      </w:r>
      <w:r w:rsidR="000701FC" w:rsidRPr="00BE20A7">
        <w:rPr>
          <w:sz w:val="20"/>
        </w:rPr>
        <w:t xml:space="preserve"> una </w:t>
      </w:r>
      <w:r w:rsidR="00030645">
        <w:rPr>
          <w:sz w:val="20"/>
        </w:rPr>
        <w:t>calificación</w:t>
      </w:r>
      <w:r w:rsidR="000701FC" w:rsidRPr="00BE20A7">
        <w:rPr>
          <w:sz w:val="20"/>
        </w:rPr>
        <w:t xml:space="preserve"> superior a 50 sobre 100 en la evaluación social según la metodología detallada en el apartado 2. Un 7% saca una </w:t>
      </w:r>
      <w:r w:rsidR="00030645">
        <w:rPr>
          <w:sz w:val="20"/>
        </w:rPr>
        <w:t>calificación</w:t>
      </w:r>
      <w:r w:rsidR="000701FC" w:rsidRPr="00BE20A7">
        <w:rPr>
          <w:sz w:val="20"/>
        </w:rPr>
        <w:t xml:space="preserve"> por debajo de 50 puntos sobre 100.</w:t>
      </w:r>
    </w:p>
    <w:p w:rsidR="00730902" w:rsidRDefault="00730902" w:rsidP="00730902">
      <w:pPr>
        <w:autoSpaceDE w:val="0"/>
        <w:autoSpaceDN w:val="0"/>
        <w:spacing w:line="360" w:lineRule="auto"/>
        <w:jc w:val="both"/>
        <w:rPr>
          <w:sz w:val="20"/>
          <w:lang w:val="es-ES_tradnl"/>
        </w:rPr>
      </w:pPr>
      <w:r>
        <w:rPr>
          <w:sz w:val="20"/>
          <w:lang w:val="es-ES_tradnl"/>
        </w:rPr>
        <w:t>Datos de 2011-2013</w:t>
      </w:r>
    </w:p>
    <w:p w:rsidR="00730902" w:rsidRDefault="00730902" w:rsidP="00730902">
      <w:pPr>
        <w:autoSpaceDE w:val="0"/>
        <w:autoSpaceDN w:val="0"/>
        <w:spacing w:line="360" w:lineRule="auto"/>
        <w:jc w:val="both"/>
        <w:rPr>
          <w:sz w:val="20"/>
          <w:lang w:val="es-ES_tradnl"/>
        </w:rPr>
      </w:pPr>
    </w:p>
    <w:p w:rsidR="00446110" w:rsidRDefault="00446110" w:rsidP="00446110">
      <w:pPr>
        <w:spacing w:line="360" w:lineRule="auto"/>
        <w:jc w:val="both"/>
        <w:rPr>
          <w:sz w:val="24"/>
          <w:szCs w:val="24"/>
          <w:lang w:val="es-ES_tradnl"/>
        </w:rPr>
      </w:pPr>
      <w:r w:rsidRPr="003959C3">
        <w:rPr>
          <w:sz w:val="24"/>
          <w:szCs w:val="24"/>
          <w:lang w:val="es-ES_tradnl"/>
        </w:rPr>
        <w:t>Al analizar la</w:t>
      </w:r>
      <w:r>
        <w:rPr>
          <w:sz w:val="24"/>
          <w:szCs w:val="24"/>
          <w:lang w:val="es-ES_tradnl"/>
        </w:rPr>
        <w:t xml:space="preserve"> </w:t>
      </w:r>
      <w:r w:rsidR="00D83E62">
        <w:rPr>
          <w:sz w:val="24"/>
          <w:szCs w:val="24"/>
          <w:lang w:val="es-ES_tradnl"/>
        </w:rPr>
        <w:t>distribución</w:t>
      </w:r>
      <w:r>
        <w:rPr>
          <w:sz w:val="24"/>
          <w:szCs w:val="24"/>
          <w:lang w:val="es-ES_tradnl"/>
        </w:rPr>
        <w:t xml:space="preserve"> de las calificaciones de impacto social se observa una</w:t>
      </w:r>
      <w:r w:rsidR="002544D2">
        <w:rPr>
          <w:sz w:val="24"/>
          <w:szCs w:val="24"/>
          <w:lang w:val="es-ES_tradnl"/>
        </w:rPr>
        <w:t xml:space="preserve"> ligera</w:t>
      </w:r>
      <w:r>
        <w:rPr>
          <w:sz w:val="24"/>
          <w:szCs w:val="24"/>
          <w:lang w:val="es-ES_tradnl"/>
        </w:rPr>
        <w:t xml:space="preserve"> tendencia hacia puntuaciones elevadas:</w:t>
      </w:r>
      <w:r w:rsidR="00D83E62">
        <w:rPr>
          <w:sz w:val="24"/>
          <w:szCs w:val="24"/>
          <w:lang w:val="es-ES_tradnl"/>
        </w:rPr>
        <w:t xml:space="preserve"> </w:t>
      </w:r>
    </w:p>
    <w:p w:rsidR="00446110" w:rsidRDefault="00446110" w:rsidP="00446110">
      <w:pPr>
        <w:autoSpaceDE w:val="0"/>
        <w:autoSpaceDN w:val="0"/>
        <w:spacing w:line="360" w:lineRule="auto"/>
        <w:jc w:val="center"/>
        <w:rPr>
          <w:sz w:val="24"/>
          <w:szCs w:val="24"/>
          <w:lang w:val="es-ES_tradnl"/>
        </w:rPr>
      </w:pPr>
      <w:r>
        <w:rPr>
          <w:noProof/>
          <w:lang w:eastAsia="es-ES"/>
        </w:rPr>
        <w:drawing>
          <wp:inline distT="0" distB="0" distL="0" distR="0">
            <wp:extent cx="4143375" cy="22288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6110" w:rsidRPr="00BE20A7" w:rsidRDefault="00446110" w:rsidP="00446110">
      <w:pPr>
        <w:autoSpaceDE w:val="0"/>
        <w:autoSpaceDN w:val="0"/>
        <w:spacing w:line="360" w:lineRule="auto"/>
        <w:jc w:val="both"/>
        <w:rPr>
          <w:sz w:val="20"/>
        </w:rPr>
      </w:pPr>
      <w:r w:rsidRPr="00BE20A7">
        <w:rPr>
          <w:sz w:val="20"/>
        </w:rPr>
        <w:t>Fuente: Elaboración propia</w:t>
      </w:r>
    </w:p>
    <w:p w:rsidR="00446110" w:rsidRDefault="00446110" w:rsidP="007539FA">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 que obtienen una determinada calificación</w:t>
      </w:r>
      <w:r w:rsidRPr="00BE20A7">
        <w:rPr>
          <w:sz w:val="20"/>
        </w:rPr>
        <w:t xml:space="preserve">. Eje horizontal, </w:t>
      </w:r>
      <w:r>
        <w:rPr>
          <w:sz w:val="20"/>
        </w:rPr>
        <w:t>rangos de calificaciones.</w:t>
      </w:r>
    </w:p>
    <w:p w:rsidR="007539FA" w:rsidRPr="00446110" w:rsidRDefault="00730902" w:rsidP="007539FA">
      <w:pPr>
        <w:spacing w:line="360" w:lineRule="auto"/>
        <w:jc w:val="both"/>
        <w:rPr>
          <w:sz w:val="20"/>
        </w:rPr>
      </w:pPr>
      <w:r>
        <w:rPr>
          <w:sz w:val="20"/>
        </w:rPr>
        <w:t>Datos de 2011</w:t>
      </w:r>
      <w:r w:rsidR="007539FA">
        <w:rPr>
          <w:sz w:val="20"/>
        </w:rPr>
        <w:t>-2013</w:t>
      </w:r>
    </w:p>
    <w:p w:rsidR="007539FA" w:rsidRDefault="007539FA" w:rsidP="00046EC0">
      <w:pPr>
        <w:spacing w:line="360" w:lineRule="auto"/>
        <w:jc w:val="both"/>
        <w:rPr>
          <w:sz w:val="24"/>
          <w:szCs w:val="24"/>
        </w:rPr>
      </w:pPr>
    </w:p>
    <w:p w:rsidR="00446110" w:rsidRPr="00046EC0" w:rsidRDefault="007539FA" w:rsidP="00046EC0">
      <w:pPr>
        <w:spacing w:line="360" w:lineRule="auto"/>
        <w:jc w:val="both"/>
        <w:rPr>
          <w:sz w:val="24"/>
          <w:szCs w:val="24"/>
          <w:lang w:val="es-ES_tradnl"/>
        </w:rPr>
      </w:pPr>
      <w:r>
        <w:rPr>
          <w:sz w:val="24"/>
          <w:szCs w:val="24"/>
          <w:lang w:val="es-ES_tradnl"/>
        </w:rPr>
        <w:t>S</w:t>
      </w:r>
      <w:r w:rsidR="000701FC" w:rsidRPr="00BE20A7">
        <w:rPr>
          <w:sz w:val="24"/>
          <w:szCs w:val="24"/>
          <w:lang w:val="es-ES_tradnl"/>
        </w:rPr>
        <w:t xml:space="preserve">i comparamos los resultados de los </w:t>
      </w:r>
      <w:r w:rsidR="00DF0FAA">
        <w:rPr>
          <w:sz w:val="24"/>
          <w:szCs w:val="24"/>
          <w:lang w:val="es-ES_tradnl"/>
        </w:rPr>
        <w:t xml:space="preserve">centros </w:t>
      </w:r>
      <w:r w:rsidR="000701FC" w:rsidRPr="00BE20A7">
        <w:rPr>
          <w:sz w:val="24"/>
          <w:szCs w:val="24"/>
          <w:lang w:val="es-ES_tradnl"/>
        </w:rPr>
        <w:t xml:space="preserve">de iniciativa social y los de </w:t>
      </w:r>
      <w:r w:rsidR="003D6D08">
        <w:rPr>
          <w:sz w:val="24"/>
          <w:szCs w:val="24"/>
          <w:lang w:val="es-ES_tradnl"/>
        </w:rPr>
        <w:t>iniciativa empresarial</w:t>
      </w:r>
      <w:r w:rsidR="000701FC" w:rsidRPr="00BE20A7">
        <w:rPr>
          <w:sz w:val="24"/>
          <w:szCs w:val="24"/>
          <w:lang w:val="es-ES_tradnl"/>
        </w:rPr>
        <w:t xml:space="preserve">, las conclusiones no cambian. En ambos casos el porcentaje de </w:t>
      </w:r>
      <w:r w:rsidR="00A95742">
        <w:rPr>
          <w:sz w:val="24"/>
          <w:szCs w:val="24"/>
          <w:lang w:val="es-ES_tradnl"/>
        </w:rPr>
        <w:t>CEEs</w:t>
      </w:r>
      <w:r w:rsidR="000701FC" w:rsidRPr="00BE20A7">
        <w:rPr>
          <w:sz w:val="24"/>
          <w:szCs w:val="24"/>
          <w:lang w:val="es-ES_tradnl"/>
        </w:rPr>
        <w:t xml:space="preserve"> que </w:t>
      </w:r>
      <w:r w:rsidR="000701FC">
        <w:rPr>
          <w:sz w:val="24"/>
          <w:szCs w:val="24"/>
          <w:lang w:val="es-ES_tradnl"/>
        </w:rPr>
        <w:t xml:space="preserve">superan esta sección del </w:t>
      </w:r>
      <w:r w:rsidR="000701FC" w:rsidRPr="00BE20A7">
        <w:rPr>
          <w:sz w:val="24"/>
          <w:szCs w:val="24"/>
          <w:lang w:val="es-ES_tradnl"/>
        </w:rPr>
        <w:t xml:space="preserve">análisis </w:t>
      </w:r>
      <w:r w:rsidR="00DF0FAA">
        <w:rPr>
          <w:sz w:val="24"/>
          <w:szCs w:val="24"/>
          <w:lang w:val="es-ES_tradnl"/>
        </w:rPr>
        <w:t>se sitúa por encima del 90%. En el caso de los de iniciativa social, el porcentaje está en el 100%</w:t>
      </w:r>
      <w:r w:rsidR="000701FC" w:rsidRPr="00046EC0">
        <w:rPr>
          <w:sz w:val="24"/>
          <w:szCs w:val="24"/>
          <w:lang w:val="es-ES_tradnl"/>
        </w:rPr>
        <w:t>.</w:t>
      </w:r>
      <w:r w:rsidR="00046EC0" w:rsidRPr="00046EC0">
        <w:rPr>
          <w:sz w:val="24"/>
          <w:szCs w:val="24"/>
          <w:lang w:val="es-ES_tradnl"/>
        </w:rPr>
        <w:t xml:space="preserve"> </w:t>
      </w:r>
      <w:r w:rsidR="00DF0FAA">
        <w:rPr>
          <w:sz w:val="24"/>
          <w:szCs w:val="24"/>
          <w:lang w:val="es-ES_tradnl"/>
        </w:rPr>
        <w:t xml:space="preserve"> </w:t>
      </w:r>
    </w:p>
    <w:p w:rsidR="000701FC" w:rsidRPr="00BE20A7" w:rsidRDefault="000701FC" w:rsidP="00046EC0">
      <w:pPr>
        <w:pStyle w:val="Ttulo3"/>
        <w:rPr>
          <w:lang w:val="es-ES_tradnl"/>
        </w:rPr>
      </w:pPr>
      <w:bookmarkStart w:id="232" w:name="_Toc410916877"/>
      <w:r w:rsidRPr="00BE20A7">
        <w:rPr>
          <w:lang w:val="es-ES_tradnl"/>
        </w:rPr>
        <w:t>Análisis de indicadores de impacto social</w:t>
      </w:r>
      <w:bookmarkEnd w:id="232"/>
    </w:p>
    <w:p w:rsidR="000701FC" w:rsidRDefault="000701FC" w:rsidP="000701FC">
      <w:pPr>
        <w:spacing w:line="360" w:lineRule="auto"/>
        <w:jc w:val="both"/>
        <w:rPr>
          <w:sz w:val="24"/>
          <w:szCs w:val="24"/>
          <w:lang w:val="es-ES_tradnl"/>
        </w:rPr>
      </w:pPr>
    </w:p>
    <w:p w:rsidR="00C52675" w:rsidRDefault="00C52675" w:rsidP="000701FC">
      <w:pPr>
        <w:spacing w:line="360" w:lineRule="auto"/>
        <w:jc w:val="both"/>
        <w:rPr>
          <w:sz w:val="24"/>
          <w:szCs w:val="24"/>
          <w:lang w:val="es-ES_tradnl"/>
        </w:rPr>
      </w:pPr>
      <w:r>
        <w:rPr>
          <w:sz w:val="24"/>
          <w:szCs w:val="24"/>
          <w:lang w:val="es-ES_tradnl"/>
        </w:rPr>
        <w:t>Cuadro de resumen de los indicadores de impacto social:</w:t>
      </w:r>
    </w:p>
    <w:tbl>
      <w:tblPr>
        <w:tblStyle w:val="Tablaconcuadrcula"/>
        <w:tblW w:w="0" w:type="auto"/>
        <w:tblLook w:val="04A0"/>
      </w:tblPr>
      <w:tblGrid>
        <w:gridCol w:w="4252"/>
        <w:gridCol w:w="4243"/>
      </w:tblGrid>
      <w:tr w:rsidR="00DF0FAA" w:rsidTr="00DF0FAA">
        <w:tc>
          <w:tcPr>
            <w:tcW w:w="4252"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Estructura de la propiedad: iniciativa social o privada</w:t>
            </w:r>
          </w:p>
        </w:tc>
        <w:tc>
          <w:tcPr>
            <w:tcW w:w="4243" w:type="dxa"/>
          </w:tcPr>
          <w:p w:rsidR="00DF0FAA" w:rsidRPr="000E6836"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 xml:space="preserve">30% </w:t>
            </w:r>
            <w:r w:rsidRPr="00F62700">
              <w:rPr>
                <w:sz w:val="18"/>
                <w:szCs w:val="18"/>
                <w:lang w:val="es-ES_tradnl"/>
              </w:rPr>
              <w:t xml:space="preserve">de los </w:t>
            </w:r>
            <w:r>
              <w:rPr>
                <w:sz w:val="18"/>
                <w:szCs w:val="18"/>
                <w:lang w:val="es-ES_tradnl"/>
              </w:rPr>
              <w:t>CEEs</w:t>
            </w:r>
            <w:r w:rsidRPr="00F62700">
              <w:rPr>
                <w:sz w:val="18"/>
                <w:szCs w:val="18"/>
                <w:lang w:val="es-ES_tradnl"/>
              </w:rPr>
              <w:t xml:space="preserve"> </w:t>
            </w:r>
            <w:r>
              <w:rPr>
                <w:sz w:val="18"/>
                <w:szCs w:val="18"/>
                <w:lang w:val="es-ES_tradnl"/>
              </w:rPr>
              <w:t>son de iniciativa social</w:t>
            </w:r>
          </w:p>
        </w:tc>
      </w:tr>
      <w:tr w:rsidR="00DF0FAA" w:rsidTr="00DF0FAA">
        <w:tc>
          <w:tcPr>
            <w:tcW w:w="4252"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Empleo de las personas con discapacidad</w:t>
            </w:r>
          </w:p>
        </w:tc>
        <w:tc>
          <w:tcPr>
            <w:tcW w:w="4243" w:type="dxa"/>
          </w:tcPr>
          <w:p w:rsidR="00DF0FAA" w:rsidRPr="000E6836" w:rsidRDefault="00DF0FAA" w:rsidP="00DF0FAA">
            <w:pPr>
              <w:tabs>
                <w:tab w:val="left" w:pos="5103"/>
                <w:tab w:val="left" w:pos="5529"/>
              </w:tabs>
              <w:spacing w:line="360" w:lineRule="auto"/>
              <w:jc w:val="both"/>
              <w:rPr>
                <w:sz w:val="18"/>
                <w:szCs w:val="18"/>
                <w:lang w:val="es-ES_tradnl"/>
              </w:rPr>
            </w:pPr>
            <w:r w:rsidRPr="0083726B">
              <w:rPr>
                <w:sz w:val="18"/>
                <w:szCs w:val="18"/>
                <w:lang w:val="es-ES_tradnl"/>
              </w:rPr>
              <w:t xml:space="preserve">De Media, un </w:t>
            </w:r>
            <w:r w:rsidRPr="000E6836">
              <w:rPr>
                <w:sz w:val="18"/>
                <w:szCs w:val="18"/>
                <w:lang w:val="es-ES_tradnl"/>
              </w:rPr>
              <w:t>9 de cada 10</w:t>
            </w:r>
            <w:r w:rsidRPr="0083726B">
              <w:rPr>
                <w:sz w:val="18"/>
                <w:szCs w:val="18"/>
                <w:lang w:val="es-ES_tradnl"/>
              </w:rPr>
              <w:t xml:space="preserve"> empleados de los </w:t>
            </w:r>
            <w:r>
              <w:rPr>
                <w:sz w:val="18"/>
                <w:szCs w:val="18"/>
                <w:lang w:val="es-ES_tradnl"/>
              </w:rPr>
              <w:t>CEEs</w:t>
            </w:r>
            <w:r w:rsidRPr="0083726B">
              <w:rPr>
                <w:sz w:val="18"/>
                <w:szCs w:val="18"/>
                <w:lang w:val="es-ES_tradnl"/>
              </w:rPr>
              <w:t xml:space="preserve"> son personas con discapacidad</w:t>
            </w:r>
            <w:r>
              <w:rPr>
                <w:sz w:val="18"/>
                <w:szCs w:val="18"/>
                <w:lang w:val="es-ES_tradnl"/>
              </w:rPr>
              <w:t>.</w:t>
            </w:r>
          </w:p>
        </w:tc>
      </w:tr>
      <w:tr w:rsidR="00DF0FAA" w:rsidTr="00DF0FAA">
        <w:tc>
          <w:tcPr>
            <w:tcW w:w="4252"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Evolución del empleo de las personas con discapacidad</w:t>
            </w:r>
          </w:p>
        </w:tc>
        <w:tc>
          <w:tcPr>
            <w:tcW w:w="4243" w:type="dxa"/>
          </w:tcPr>
          <w:p w:rsidR="00DF0FAA" w:rsidRPr="000E6836"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 xml:space="preserve">31% </w:t>
            </w:r>
            <w:r w:rsidRPr="004C4B8C">
              <w:rPr>
                <w:sz w:val="18"/>
                <w:szCs w:val="18"/>
                <w:lang w:val="es-ES_tradnl"/>
              </w:rPr>
              <w:t xml:space="preserve">de los </w:t>
            </w:r>
            <w:r>
              <w:rPr>
                <w:sz w:val="18"/>
                <w:szCs w:val="18"/>
                <w:lang w:val="es-ES_tradnl"/>
              </w:rPr>
              <w:t>CEEs</w:t>
            </w:r>
            <w:r w:rsidRPr="004C4B8C">
              <w:rPr>
                <w:sz w:val="18"/>
                <w:szCs w:val="18"/>
                <w:lang w:val="es-ES_tradnl"/>
              </w:rPr>
              <w:t xml:space="preserve"> tuvieron una evolución positiva del empleo de </w:t>
            </w:r>
            <w:r>
              <w:rPr>
                <w:sz w:val="18"/>
                <w:szCs w:val="18"/>
                <w:lang w:val="es-ES_tradnl"/>
              </w:rPr>
              <w:t>personas con discapacidad con especiales dificultades</w:t>
            </w:r>
            <w:r w:rsidRPr="004C4B8C">
              <w:rPr>
                <w:sz w:val="18"/>
                <w:szCs w:val="18"/>
                <w:lang w:val="es-ES_tradnl"/>
              </w:rPr>
              <w:t xml:space="preserve"> entre 2011 y 2013</w:t>
            </w:r>
          </w:p>
        </w:tc>
      </w:tr>
      <w:tr w:rsidR="00DF0FAA" w:rsidTr="00DF0FAA">
        <w:tc>
          <w:tcPr>
            <w:tcW w:w="4252"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Estabilidad en el empleo de las personas con discapacidad (porcentaje de contratos indefinidos sobre el total de PCD)</w:t>
            </w:r>
          </w:p>
        </w:tc>
        <w:tc>
          <w:tcPr>
            <w:tcW w:w="4243" w:type="dxa"/>
          </w:tcPr>
          <w:p w:rsidR="00DF0FAA" w:rsidRPr="00105028"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7 de cada 10</w:t>
            </w:r>
            <w:r>
              <w:rPr>
                <w:sz w:val="18"/>
                <w:szCs w:val="18"/>
                <w:lang w:val="es-ES_tradnl"/>
              </w:rPr>
              <w:t xml:space="preserve"> empleados de los CEEs tienen contrato indefinido</w:t>
            </w:r>
          </w:p>
        </w:tc>
      </w:tr>
      <w:tr w:rsidR="00DF0FAA" w:rsidTr="00DF0FAA">
        <w:tc>
          <w:tcPr>
            <w:tcW w:w="4252"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Evolución en la estabilidad en el empleo de personas con discapacidad</w:t>
            </w:r>
          </w:p>
        </w:tc>
        <w:tc>
          <w:tcPr>
            <w:tcW w:w="4243" w:type="dxa"/>
          </w:tcPr>
          <w:p w:rsidR="00DF0FAA" w:rsidRPr="00F62700"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33%</w:t>
            </w:r>
            <w:r>
              <w:rPr>
                <w:sz w:val="18"/>
                <w:szCs w:val="18"/>
                <w:lang w:val="es-ES_tradnl"/>
              </w:rPr>
              <w:t xml:space="preserve"> </w:t>
            </w:r>
            <w:r w:rsidRPr="00874148">
              <w:rPr>
                <w:sz w:val="18"/>
                <w:szCs w:val="18"/>
                <w:lang w:val="es-ES_tradnl"/>
              </w:rPr>
              <w:t xml:space="preserve">de los </w:t>
            </w:r>
            <w:r>
              <w:rPr>
                <w:sz w:val="18"/>
                <w:szCs w:val="18"/>
                <w:lang w:val="es-ES_tradnl"/>
              </w:rPr>
              <w:t>CEEs</w:t>
            </w:r>
            <w:r w:rsidRPr="00874148">
              <w:rPr>
                <w:sz w:val="18"/>
                <w:szCs w:val="18"/>
                <w:lang w:val="es-ES_tradnl"/>
              </w:rPr>
              <w:t xml:space="preserve"> </w:t>
            </w:r>
            <w:r>
              <w:rPr>
                <w:sz w:val="18"/>
                <w:szCs w:val="18"/>
                <w:lang w:val="es-ES_tradnl"/>
              </w:rPr>
              <w:t xml:space="preserve">aumentaron el número de contratos indefinidos entre sus trabajadores con discapacidad </w:t>
            </w:r>
            <w:r w:rsidRPr="00874148">
              <w:rPr>
                <w:sz w:val="18"/>
                <w:szCs w:val="18"/>
                <w:lang w:val="es-ES_tradnl"/>
              </w:rPr>
              <w:t>entre 2011 y 2013</w:t>
            </w:r>
          </w:p>
        </w:tc>
      </w:tr>
      <w:tr w:rsidR="00DF0FAA" w:rsidTr="00DF0FAA">
        <w:tc>
          <w:tcPr>
            <w:tcW w:w="4252"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Equidad salarial (ratio entre el salario medio de los CEEs y el salario medio de las PCD)</w:t>
            </w:r>
          </w:p>
        </w:tc>
        <w:tc>
          <w:tcPr>
            <w:tcW w:w="4243" w:type="dxa"/>
          </w:tcPr>
          <w:p w:rsidR="00DF0FAA" w:rsidRPr="000E6836" w:rsidRDefault="00DF0FAA" w:rsidP="00DF0FAA">
            <w:pPr>
              <w:tabs>
                <w:tab w:val="left" w:pos="5103"/>
                <w:tab w:val="left" w:pos="5529"/>
              </w:tabs>
              <w:spacing w:line="360" w:lineRule="auto"/>
              <w:jc w:val="both"/>
              <w:rPr>
                <w:sz w:val="18"/>
                <w:szCs w:val="18"/>
                <w:lang w:val="es-ES_tradnl"/>
              </w:rPr>
            </w:pPr>
            <w:r w:rsidRPr="0042411F">
              <w:rPr>
                <w:sz w:val="18"/>
                <w:szCs w:val="18"/>
                <w:lang w:val="es-ES_tradnl"/>
              </w:rPr>
              <w:t xml:space="preserve">Los </w:t>
            </w:r>
            <w:r>
              <w:rPr>
                <w:sz w:val="18"/>
                <w:szCs w:val="18"/>
                <w:lang w:val="es-ES_tradnl"/>
              </w:rPr>
              <w:t xml:space="preserve">salarios ofrecidos por los CEEs son </w:t>
            </w:r>
            <w:r w:rsidRPr="000E6836">
              <w:rPr>
                <w:sz w:val="18"/>
                <w:szCs w:val="18"/>
                <w:lang w:val="es-ES_tradnl"/>
              </w:rPr>
              <w:t xml:space="preserve">1,41 </w:t>
            </w:r>
            <w:r>
              <w:rPr>
                <w:sz w:val="18"/>
                <w:szCs w:val="18"/>
                <w:lang w:val="es-ES_tradnl"/>
              </w:rPr>
              <w:t>veces superiores al salario medio de las PCD.</w:t>
            </w:r>
          </w:p>
        </w:tc>
      </w:tr>
      <w:tr w:rsidR="00DF0FAA" w:rsidTr="00DF0FAA">
        <w:tc>
          <w:tcPr>
            <w:tcW w:w="4252" w:type="dxa"/>
          </w:tcPr>
          <w:p w:rsidR="00DF0FAA" w:rsidRDefault="00DF0FAA" w:rsidP="00DF0FAA">
            <w:pPr>
              <w:tabs>
                <w:tab w:val="left" w:pos="5103"/>
                <w:tab w:val="left" w:pos="5529"/>
              </w:tabs>
              <w:spacing w:line="360" w:lineRule="auto"/>
              <w:jc w:val="both"/>
              <w:rPr>
                <w:sz w:val="24"/>
                <w:szCs w:val="24"/>
                <w:lang w:val="es-ES_tradnl"/>
              </w:rPr>
            </w:pPr>
            <w:r>
              <w:rPr>
                <w:sz w:val="24"/>
                <w:szCs w:val="24"/>
                <w:lang w:val="es-ES_tradnl"/>
              </w:rPr>
              <w:t>Equidad de las personas con discapacidad con especiales dificultades.</w:t>
            </w:r>
          </w:p>
        </w:tc>
        <w:tc>
          <w:tcPr>
            <w:tcW w:w="4243" w:type="dxa"/>
          </w:tcPr>
          <w:p w:rsidR="00DF0FAA" w:rsidRPr="000E6836" w:rsidRDefault="00DF0FAA" w:rsidP="00F72EDA">
            <w:pPr>
              <w:tabs>
                <w:tab w:val="left" w:pos="5103"/>
                <w:tab w:val="left" w:pos="5529"/>
              </w:tabs>
              <w:spacing w:line="360" w:lineRule="auto"/>
              <w:jc w:val="both"/>
              <w:rPr>
                <w:sz w:val="18"/>
                <w:szCs w:val="18"/>
                <w:lang w:val="es-ES_tradnl"/>
              </w:rPr>
            </w:pPr>
            <w:r>
              <w:rPr>
                <w:sz w:val="18"/>
                <w:szCs w:val="18"/>
                <w:lang w:val="es-ES_tradnl"/>
              </w:rPr>
              <w:t>U</w:t>
            </w:r>
            <w:r w:rsidRPr="004A39A4">
              <w:rPr>
                <w:sz w:val="18"/>
                <w:szCs w:val="18"/>
                <w:lang w:val="es-ES_tradnl"/>
              </w:rPr>
              <w:t xml:space="preserve">n </w:t>
            </w:r>
            <w:r w:rsidRPr="000E6836">
              <w:rPr>
                <w:sz w:val="18"/>
                <w:szCs w:val="18"/>
                <w:lang w:val="es-ES_tradnl"/>
              </w:rPr>
              <w:t xml:space="preserve">40% </w:t>
            </w:r>
            <w:r w:rsidRPr="004A39A4">
              <w:rPr>
                <w:sz w:val="18"/>
                <w:szCs w:val="18"/>
                <w:lang w:val="es-ES_tradnl"/>
              </w:rPr>
              <w:t>de los trabajadores de lo</w:t>
            </w:r>
            <w:r>
              <w:rPr>
                <w:sz w:val="18"/>
                <w:szCs w:val="18"/>
                <w:lang w:val="es-ES_tradnl"/>
              </w:rPr>
              <w:t xml:space="preserve">s CEEs tienen </w:t>
            </w:r>
            <w:r w:rsidR="00F72EDA">
              <w:rPr>
                <w:sz w:val="18"/>
                <w:szCs w:val="18"/>
                <w:lang w:val="es-ES_tradnl"/>
              </w:rPr>
              <w:t>especiales dificultades.</w:t>
            </w:r>
          </w:p>
        </w:tc>
      </w:tr>
      <w:tr w:rsidR="00DF0FAA" w:rsidTr="00DF0FAA">
        <w:tc>
          <w:tcPr>
            <w:tcW w:w="4252" w:type="dxa"/>
          </w:tcPr>
          <w:p w:rsidR="00DF0FAA" w:rsidRDefault="00DF0FAA" w:rsidP="00DF0FAA">
            <w:pPr>
              <w:tabs>
                <w:tab w:val="left" w:pos="5103"/>
                <w:tab w:val="left" w:pos="5529"/>
              </w:tabs>
              <w:spacing w:line="360" w:lineRule="auto"/>
              <w:rPr>
                <w:sz w:val="24"/>
                <w:szCs w:val="24"/>
                <w:lang w:val="es-ES_tradnl"/>
              </w:rPr>
            </w:pPr>
            <w:r>
              <w:rPr>
                <w:sz w:val="24"/>
                <w:szCs w:val="24"/>
                <w:lang w:val="es-ES_tradnl"/>
              </w:rPr>
              <w:t>Evolución del empleo de personas con discapacidad con especiales dificultades</w:t>
            </w:r>
          </w:p>
        </w:tc>
        <w:tc>
          <w:tcPr>
            <w:tcW w:w="4243" w:type="dxa"/>
          </w:tcPr>
          <w:p w:rsidR="00DF0FAA" w:rsidRPr="004464EF" w:rsidRDefault="00DF0FAA" w:rsidP="00DF0FAA">
            <w:pPr>
              <w:tabs>
                <w:tab w:val="left" w:pos="5103"/>
                <w:tab w:val="left" w:pos="5529"/>
              </w:tabs>
              <w:spacing w:line="360" w:lineRule="auto"/>
              <w:jc w:val="both"/>
              <w:rPr>
                <w:sz w:val="18"/>
                <w:szCs w:val="18"/>
                <w:lang w:val="es-ES_tradnl"/>
              </w:rPr>
            </w:pPr>
            <w:r>
              <w:rPr>
                <w:sz w:val="18"/>
                <w:szCs w:val="18"/>
                <w:lang w:val="es-ES_tradnl"/>
              </w:rPr>
              <w:t>L</w:t>
            </w:r>
            <w:r w:rsidRPr="00365F00">
              <w:rPr>
                <w:sz w:val="18"/>
                <w:szCs w:val="18"/>
                <w:lang w:val="es-ES_tradnl"/>
              </w:rPr>
              <w:t xml:space="preserve">os </w:t>
            </w:r>
            <w:r>
              <w:rPr>
                <w:sz w:val="18"/>
                <w:szCs w:val="18"/>
                <w:lang w:val="es-ES_tradnl"/>
              </w:rPr>
              <w:t>CEEs</w:t>
            </w:r>
            <w:r w:rsidRPr="00365F00">
              <w:rPr>
                <w:sz w:val="18"/>
                <w:szCs w:val="18"/>
                <w:lang w:val="es-ES_tradnl"/>
              </w:rPr>
              <w:t xml:space="preserve"> tuvieron una evol</w:t>
            </w:r>
            <w:r>
              <w:rPr>
                <w:sz w:val="18"/>
                <w:szCs w:val="18"/>
                <w:lang w:val="es-ES_tradnl"/>
              </w:rPr>
              <w:t>ución positiva del empleo de personas con discapacidad con especiales dificultades</w:t>
            </w:r>
            <w:r w:rsidRPr="00365F00">
              <w:rPr>
                <w:sz w:val="18"/>
                <w:szCs w:val="18"/>
                <w:lang w:val="es-ES_tradnl"/>
              </w:rPr>
              <w:t xml:space="preserve"> </w:t>
            </w:r>
            <w:r>
              <w:rPr>
                <w:sz w:val="18"/>
                <w:szCs w:val="18"/>
                <w:lang w:val="es-ES_tradnl"/>
              </w:rPr>
              <w:t xml:space="preserve">del </w:t>
            </w:r>
            <w:r w:rsidRPr="000E6836">
              <w:rPr>
                <w:sz w:val="18"/>
                <w:szCs w:val="18"/>
                <w:lang w:val="es-ES_tradnl"/>
              </w:rPr>
              <w:t xml:space="preserve">2% </w:t>
            </w:r>
            <w:r w:rsidRPr="00365F00">
              <w:rPr>
                <w:sz w:val="18"/>
                <w:szCs w:val="18"/>
                <w:lang w:val="es-ES_tradnl"/>
              </w:rPr>
              <w:t>entre 2011 y 2013</w:t>
            </w:r>
          </w:p>
        </w:tc>
      </w:tr>
      <w:tr w:rsidR="00DF0FAA" w:rsidTr="00DF0FAA">
        <w:tc>
          <w:tcPr>
            <w:tcW w:w="4252" w:type="dxa"/>
          </w:tcPr>
          <w:p w:rsidR="00DF0FAA" w:rsidRDefault="00DF0FAA" w:rsidP="00DF0FAA">
            <w:pPr>
              <w:tabs>
                <w:tab w:val="left" w:pos="5103"/>
                <w:tab w:val="left" w:pos="5529"/>
              </w:tabs>
              <w:spacing w:line="360" w:lineRule="auto"/>
              <w:rPr>
                <w:sz w:val="24"/>
                <w:szCs w:val="24"/>
                <w:lang w:val="es-ES_tradnl"/>
              </w:rPr>
            </w:pPr>
            <w:r>
              <w:rPr>
                <w:sz w:val="24"/>
                <w:szCs w:val="24"/>
                <w:lang w:val="es-ES_tradnl"/>
              </w:rPr>
              <w:t>Empleo Femenino</w:t>
            </w:r>
          </w:p>
        </w:tc>
        <w:tc>
          <w:tcPr>
            <w:tcW w:w="4243" w:type="dxa"/>
          </w:tcPr>
          <w:p w:rsidR="00DF0FAA" w:rsidRPr="00F62700" w:rsidRDefault="00DF0FAA" w:rsidP="00DF0FAA">
            <w:pPr>
              <w:tabs>
                <w:tab w:val="left" w:pos="5103"/>
                <w:tab w:val="left" w:pos="5529"/>
              </w:tabs>
              <w:spacing w:line="360" w:lineRule="auto"/>
              <w:jc w:val="both"/>
              <w:rPr>
                <w:sz w:val="18"/>
                <w:szCs w:val="18"/>
                <w:lang w:val="es-ES_tradnl"/>
              </w:rPr>
            </w:pPr>
            <w:r>
              <w:rPr>
                <w:sz w:val="18"/>
                <w:szCs w:val="18"/>
                <w:lang w:val="es-ES_tradnl"/>
              </w:rPr>
              <w:t xml:space="preserve">En un </w:t>
            </w:r>
            <w:r w:rsidRPr="000E6836">
              <w:rPr>
                <w:sz w:val="18"/>
                <w:szCs w:val="18"/>
                <w:lang w:val="es-ES_tradnl"/>
              </w:rPr>
              <w:t>60%</w:t>
            </w:r>
            <w:r>
              <w:rPr>
                <w:sz w:val="18"/>
                <w:szCs w:val="18"/>
                <w:lang w:val="es-ES_tradnl"/>
              </w:rPr>
              <w:t xml:space="preserve"> de los CEEs, más de un 25% de los empleados son mujeres.</w:t>
            </w:r>
          </w:p>
        </w:tc>
      </w:tr>
      <w:tr w:rsidR="00DF0FAA" w:rsidTr="00DF0FAA">
        <w:tc>
          <w:tcPr>
            <w:tcW w:w="4252" w:type="dxa"/>
          </w:tcPr>
          <w:p w:rsidR="00DF0FAA" w:rsidRDefault="00DF0FAA" w:rsidP="00DF0FAA">
            <w:pPr>
              <w:tabs>
                <w:tab w:val="left" w:pos="5103"/>
                <w:tab w:val="left" w:pos="5529"/>
              </w:tabs>
              <w:spacing w:line="360" w:lineRule="auto"/>
              <w:rPr>
                <w:sz w:val="24"/>
                <w:szCs w:val="24"/>
                <w:lang w:val="es-ES_tradnl"/>
              </w:rPr>
            </w:pPr>
            <w:r>
              <w:rPr>
                <w:sz w:val="24"/>
                <w:szCs w:val="24"/>
                <w:lang w:val="es-ES_tradnl"/>
              </w:rPr>
              <w:t>Empleo de personas con discapacidad en edades de mayor dificultad de acceso al mercado laboral (&gt;55 años y &lt;25 años)</w:t>
            </w:r>
          </w:p>
        </w:tc>
        <w:tc>
          <w:tcPr>
            <w:tcW w:w="4243" w:type="dxa"/>
          </w:tcPr>
          <w:p w:rsidR="00DF0FAA" w:rsidRPr="004C4B8C" w:rsidRDefault="00DF0FAA" w:rsidP="00DF0FAA">
            <w:pPr>
              <w:tabs>
                <w:tab w:val="left" w:pos="5103"/>
                <w:tab w:val="left" w:pos="5529"/>
              </w:tabs>
              <w:spacing w:line="360" w:lineRule="auto"/>
              <w:jc w:val="both"/>
              <w:rPr>
                <w:sz w:val="18"/>
                <w:szCs w:val="18"/>
                <w:lang w:val="es-ES_tradnl"/>
              </w:rPr>
            </w:pPr>
            <w:r>
              <w:rPr>
                <w:sz w:val="18"/>
                <w:szCs w:val="18"/>
                <w:lang w:val="es-ES_tradnl"/>
              </w:rPr>
              <w:t xml:space="preserve">Un </w:t>
            </w:r>
            <w:r w:rsidRPr="000E6836">
              <w:rPr>
                <w:sz w:val="18"/>
                <w:szCs w:val="18"/>
                <w:lang w:val="es-ES_tradnl"/>
              </w:rPr>
              <w:t>81%</w:t>
            </w:r>
            <w:r>
              <w:rPr>
                <w:sz w:val="18"/>
                <w:szCs w:val="18"/>
                <w:lang w:val="es-ES_tradnl"/>
              </w:rPr>
              <w:t xml:space="preserve"> de los CEEs cumple con el requisito establecido de que al menos 2 de cada 10 personas contratadas sean mayores de 55 años o menores de 25.</w:t>
            </w:r>
          </w:p>
        </w:tc>
      </w:tr>
      <w:tr w:rsidR="00DF0FAA" w:rsidTr="00DF0FAA">
        <w:tc>
          <w:tcPr>
            <w:tcW w:w="4252" w:type="dxa"/>
          </w:tcPr>
          <w:p w:rsidR="00DF0FAA" w:rsidRDefault="00DF0FAA" w:rsidP="00DF0FAA">
            <w:pPr>
              <w:tabs>
                <w:tab w:val="left" w:pos="5103"/>
                <w:tab w:val="left" w:pos="5529"/>
              </w:tabs>
              <w:spacing w:line="360" w:lineRule="auto"/>
              <w:rPr>
                <w:sz w:val="24"/>
                <w:szCs w:val="24"/>
                <w:lang w:val="es-ES_tradnl"/>
              </w:rPr>
            </w:pPr>
            <w:r>
              <w:rPr>
                <w:sz w:val="24"/>
                <w:szCs w:val="24"/>
                <w:lang w:val="es-ES_tradnl"/>
              </w:rPr>
              <w:t>Empleo de personas con discapacidad sin estudios o con estudios básicos</w:t>
            </w:r>
          </w:p>
        </w:tc>
        <w:tc>
          <w:tcPr>
            <w:tcW w:w="4243" w:type="dxa"/>
          </w:tcPr>
          <w:p w:rsidR="00DF0FAA" w:rsidRPr="000E6836" w:rsidRDefault="00DF0FAA" w:rsidP="00DF0FAA">
            <w:pPr>
              <w:tabs>
                <w:tab w:val="left" w:pos="5103"/>
                <w:tab w:val="left" w:pos="5529"/>
              </w:tabs>
              <w:spacing w:line="360" w:lineRule="auto"/>
              <w:jc w:val="both"/>
              <w:rPr>
                <w:sz w:val="18"/>
                <w:szCs w:val="18"/>
                <w:lang w:val="es-ES_tradnl"/>
              </w:rPr>
            </w:pPr>
            <w:r w:rsidRPr="000E6836">
              <w:rPr>
                <w:sz w:val="18"/>
                <w:szCs w:val="18"/>
                <w:lang w:val="es-ES_tradnl"/>
              </w:rPr>
              <w:t>7 de cada 10 personas</w:t>
            </w:r>
            <w:r>
              <w:rPr>
                <w:sz w:val="18"/>
                <w:szCs w:val="18"/>
                <w:lang w:val="es-ES_tradnl"/>
              </w:rPr>
              <w:t xml:space="preserve"> empleadas por los CEEs no tienen estudios o tienen estudios básicos</w:t>
            </w:r>
          </w:p>
        </w:tc>
      </w:tr>
      <w:tr w:rsidR="00DF0FAA" w:rsidRPr="0083726B" w:rsidTr="00DF0FAA">
        <w:tc>
          <w:tcPr>
            <w:tcW w:w="4252" w:type="dxa"/>
          </w:tcPr>
          <w:p w:rsidR="00DF0FAA" w:rsidRDefault="00DF0FAA" w:rsidP="00DF0FAA">
            <w:pPr>
              <w:tabs>
                <w:tab w:val="left" w:pos="5103"/>
                <w:tab w:val="left" w:pos="5529"/>
              </w:tabs>
              <w:spacing w:line="360" w:lineRule="auto"/>
              <w:rPr>
                <w:sz w:val="24"/>
                <w:szCs w:val="24"/>
                <w:lang w:val="es-ES_tradnl"/>
              </w:rPr>
            </w:pPr>
            <w:r>
              <w:rPr>
                <w:sz w:val="24"/>
                <w:szCs w:val="24"/>
                <w:lang w:val="es-ES_tradnl"/>
              </w:rPr>
              <w:t>Dinamización de los entornos rurales (&lt; 20.000 habitantes)</w:t>
            </w:r>
          </w:p>
        </w:tc>
        <w:tc>
          <w:tcPr>
            <w:tcW w:w="4243" w:type="dxa"/>
          </w:tcPr>
          <w:p w:rsidR="00DF0FAA" w:rsidRPr="00F62700" w:rsidRDefault="00DF0FAA" w:rsidP="00DF0FAA">
            <w:pPr>
              <w:tabs>
                <w:tab w:val="left" w:pos="5103"/>
                <w:tab w:val="left" w:pos="5529"/>
              </w:tabs>
              <w:spacing w:line="360" w:lineRule="auto"/>
              <w:jc w:val="both"/>
              <w:rPr>
                <w:sz w:val="18"/>
                <w:szCs w:val="18"/>
                <w:lang w:val="es-ES_tradnl"/>
              </w:rPr>
            </w:pPr>
            <w:r>
              <w:rPr>
                <w:sz w:val="18"/>
                <w:szCs w:val="18"/>
                <w:lang w:val="es-ES_tradnl"/>
              </w:rPr>
              <w:t xml:space="preserve">La mayoría de ellos se encuentran en entornos urbanos. </w:t>
            </w:r>
          </w:p>
        </w:tc>
      </w:tr>
    </w:tbl>
    <w:p w:rsidR="00AC48D6" w:rsidRDefault="00AC48D6" w:rsidP="000701FC">
      <w:pPr>
        <w:pBdr>
          <w:bottom w:val="single" w:sz="4" w:space="1" w:color="auto"/>
        </w:pBdr>
        <w:spacing w:line="360" w:lineRule="auto"/>
        <w:jc w:val="both"/>
        <w:rPr>
          <w:sz w:val="24"/>
          <w:szCs w:val="24"/>
          <w:lang w:val="es-ES_tradnl"/>
        </w:rPr>
      </w:pPr>
    </w:p>
    <w:p w:rsidR="00163CD7" w:rsidRDefault="000701FC" w:rsidP="009C0683">
      <w:pPr>
        <w:pBdr>
          <w:bottom w:val="single" w:sz="4" w:space="1" w:color="auto"/>
        </w:pBdr>
        <w:spacing w:line="360" w:lineRule="auto"/>
        <w:jc w:val="both"/>
        <w:rPr>
          <w:sz w:val="24"/>
          <w:szCs w:val="24"/>
          <w:lang w:val="es-ES_tradnl"/>
        </w:rPr>
      </w:pPr>
      <w:r w:rsidRPr="00BE20A7">
        <w:rPr>
          <w:sz w:val="24"/>
          <w:szCs w:val="24"/>
          <w:lang w:val="es-ES_tradnl"/>
        </w:rPr>
        <w:t xml:space="preserve">En la evaluación del impacto social de los </w:t>
      </w:r>
      <w:r w:rsidR="00A95742">
        <w:rPr>
          <w:sz w:val="24"/>
          <w:szCs w:val="24"/>
          <w:lang w:val="es-ES_tradnl"/>
        </w:rPr>
        <w:t>CEEs</w:t>
      </w:r>
      <w:r w:rsidRPr="00BE20A7">
        <w:rPr>
          <w:sz w:val="24"/>
          <w:szCs w:val="24"/>
          <w:lang w:val="es-ES_tradnl"/>
        </w:rPr>
        <w:t xml:space="preserve"> se han considerado 12 indicadores, cada uno de los cuáles</w:t>
      </w:r>
      <w:r>
        <w:rPr>
          <w:sz w:val="24"/>
          <w:szCs w:val="24"/>
          <w:lang w:val="es-ES_tradnl"/>
        </w:rPr>
        <w:t xml:space="preserve"> evalúa </w:t>
      </w:r>
      <w:r w:rsidRPr="00BE20A7">
        <w:rPr>
          <w:sz w:val="24"/>
          <w:szCs w:val="24"/>
          <w:lang w:val="es-ES_tradnl"/>
        </w:rPr>
        <w:t xml:space="preserve">un aspecto </w:t>
      </w:r>
      <w:r>
        <w:rPr>
          <w:sz w:val="24"/>
          <w:szCs w:val="24"/>
          <w:lang w:val="es-ES_tradnl"/>
        </w:rPr>
        <w:t xml:space="preserve">distinto </w:t>
      </w:r>
      <w:r w:rsidRPr="00BE20A7">
        <w:rPr>
          <w:sz w:val="24"/>
          <w:szCs w:val="24"/>
          <w:lang w:val="es-ES_tradnl"/>
        </w:rPr>
        <w:t xml:space="preserve">relacionado </w:t>
      </w:r>
      <w:r>
        <w:rPr>
          <w:sz w:val="24"/>
          <w:szCs w:val="24"/>
          <w:lang w:val="es-ES_tradnl"/>
        </w:rPr>
        <w:t>con el</w:t>
      </w:r>
      <w:r w:rsidRPr="00BE20A7">
        <w:rPr>
          <w:sz w:val="24"/>
          <w:szCs w:val="24"/>
          <w:lang w:val="es-ES_tradnl"/>
        </w:rPr>
        <w:t xml:space="preserve"> valor añadido social. En primer lugar se ha analizado la estructura de la propiedad. Se ha considerado también el porcentaje de empleados con discapacidad así como la evolución del mismo en el periodo 2011-2013 como baremo del compromiso </w:t>
      </w:r>
      <w:r w:rsidR="007108D2">
        <w:rPr>
          <w:sz w:val="24"/>
          <w:szCs w:val="24"/>
          <w:lang w:val="es-ES_tradnl"/>
        </w:rPr>
        <w:t>de los centros</w:t>
      </w:r>
      <w:r w:rsidRPr="00BE20A7">
        <w:rPr>
          <w:sz w:val="24"/>
          <w:szCs w:val="24"/>
          <w:lang w:val="es-ES_tradnl"/>
        </w:rPr>
        <w:t xml:space="preserve"> con su labor social y del cumplimiento de los requisitos para ser considerado centro especial de empleo. Por otro lado se ha tenido en cuenta la estabilidad en el empleo, la evolución de la misma y la equidad salarial. Asimismo, se ha </w:t>
      </w:r>
      <w:r w:rsidR="007108D2">
        <w:rPr>
          <w:sz w:val="24"/>
          <w:szCs w:val="24"/>
          <w:lang w:val="es-ES_tradnl"/>
        </w:rPr>
        <w:t>analizado el impacto sobre las</w:t>
      </w:r>
      <w:r w:rsidRPr="00BE20A7">
        <w:rPr>
          <w:sz w:val="24"/>
          <w:szCs w:val="24"/>
          <w:lang w:val="es-ES_tradnl"/>
        </w:rPr>
        <w:t xml:space="preserve"> personas con mayores dificultades de acceso al mercado laboral, ya sea po</w:t>
      </w:r>
      <w:r w:rsidR="0017473A">
        <w:rPr>
          <w:sz w:val="24"/>
          <w:szCs w:val="24"/>
          <w:lang w:val="es-ES_tradnl"/>
        </w:rPr>
        <w:t xml:space="preserve">r tener un grado de </w:t>
      </w:r>
      <w:r w:rsidR="004F1B3C">
        <w:rPr>
          <w:sz w:val="24"/>
          <w:szCs w:val="24"/>
          <w:lang w:val="es-ES_tradnl"/>
        </w:rPr>
        <w:t xml:space="preserve">discapacidad </w:t>
      </w:r>
      <w:r w:rsidRPr="00BE20A7">
        <w:rPr>
          <w:sz w:val="24"/>
          <w:szCs w:val="24"/>
          <w:lang w:val="es-ES_tradnl"/>
        </w:rPr>
        <w:t xml:space="preserve">elevado, por edad, por género o por nivel de estudios. Este tipo de indicadores se han incluido en el análisis porque se considera que más allá de la contratación de personas con discapacidad, la generación de valor social de los </w:t>
      </w:r>
      <w:r w:rsidR="00263316">
        <w:rPr>
          <w:sz w:val="24"/>
          <w:szCs w:val="24"/>
          <w:lang w:val="es-ES_tradnl"/>
        </w:rPr>
        <w:t>CEEs</w:t>
      </w:r>
      <w:r w:rsidRPr="00BE20A7">
        <w:rPr>
          <w:sz w:val="24"/>
          <w:szCs w:val="24"/>
          <w:lang w:val="es-ES_tradnl"/>
        </w:rPr>
        <w:t xml:space="preserve"> está ligada a su capacidad para ofrecer oportunidades laborales a personas en situaciones </w:t>
      </w:r>
      <w:r>
        <w:rPr>
          <w:sz w:val="24"/>
          <w:szCs w:val="24"/>
          <w:lang w:val="es-ES_tradnl"/>
        </w:rPr>
        <w:t>de mayor dificultad</w:t>
      </w:r>
      <w:r w:rsidRPr="00BE20A7">
        <w:rPr>
          <w:sz w:val="24"/>
          <w:szCs w:val="24"/>
          <w:lang w:val="es-ES_tradnl"/>
        </w:rPr>
        <w:t xml:space="preserve">. Por último se ha evaluado </w:t>
      </w:r>
      <w:r w:rsidR="007108D2">
        <w:rPr>
          <w:sz w:val="24"/>
          <w:szCs w:val="24"/>
          <w:lang w:val="es-ES_tradnl"/>
        </w:rPr>
        <w:t>el impacto de los centros en entornos rurales.</w:t>
      </w:r>
    </w:p>
    <w:p w:rsidR="00163CD7" w:rsidRDefault="00163CD7" w:rsidP="000701FC">
      <w:pPr>
        <w:pBdr>
          <w:bottom w:val="single" w:sz="4" w:space="1" w:color="auto"/>
        </w:pBdr>
        <w:spacing w:line="360" w:lineRule="auto"/>
        <w:rPr>
          <w:sz w:val="24"/>
          <w:szCs w:val="24"/>
          <w:lang w:val="es-ES_tradnl"/>
        </w:rPr>
      </w:pPr>
    </w:p>
    <w:p w:rsidR="00BB6FB6" w:rsidRDefault="00BB6FB6" w:rsidP="000701FC">
      <w:pPr>
        <w:pBdr>
          <w:bottom w:val="single" w:sz="4" w:space="1" w:color="auto"/>
        </w:pBdr>
        <w:spacing w:line="360" w:lineRule="auto"/>
        <w:rPr>
          <w:sz w:val="24"/>
          <w:szCs w:val="24"/>
          <w:lang w:val="es-ES_tradnl"/>
        </w:rPr>
      </w:pPr>
    </w:p>
    <w:p w:rsidR="00BB6FB6" w:rsidRDefault="00BB6FB6" w:rsidP="000701FC">
      <w:pPr>
        <w:pBdr>
          <w:bottom w:val="single" w:sz="4" w:space="1" w:color="auto"/>
        </w:pBdr>
        <w:spacing w:line="360" w:lineRule="auto"/>
        <w:rPr>
          <w:sz w:val="24"/>
          <w:szCs w:val="24"/>
          <w:lang w:val="es-ES_tradnl"/>
        </w:rPr>
      </w:pPr>
    </w:p>
    <w:p w:rsidR="00BB6FB6" w:rsidRDefault="00BB6FB6" w:rsidP="000701FC">
      <w:pPr>
        <w:pBdr>
          <w:bottom w:val="single" w:sz="4" w:space="1" w:color="auto"/>
        </w:pBdr>
        <w:spacing w:line="360" w:lineRule="auto"/>
        <w:rPr>
          <w:sz w:val="24"/>
          <w:szCs w:val="24"/>
          <w:lang w:val="es-ES_tradnl"/>
        </w:rPr>
      </w:pPr>
    </w:p>
    <w:p w:rsidR="00163CD7" w:rsidRPr="00BE20A7" w:rsidRDefault="00163CD7" w:rsidP="000701FC">
      <w:pPr>
        <w:pBdr>
          <w:bottom w:val="single" w:sz="4" w:space="1" w:color="auto"/>
        </w:pBdr>
        <w:spacing w:line="360" w:lineRule="auto"/>
        <w:rPr>
          <w:sz w:val="24"/>
          <w:szCs w:val="24"/>
          <w:lang w:val="es-ES_tradnl"/>
        </w:rPr>
      </w:pPr>
    </w:p>
    <w:p w:rsidR="000701FC" w:rsidRPr="00BE20A7" w:rsidRDefault="000701FC" w:rsidP="000701FC">
      <w:pPr>
        <w:spacing w:line="360" w:lineRule="auto"/>
        <w:jc w:val="center"/>
        <w:rPr>
          <w:b/>
          <w:color w:val="1F497D" w:themeColor="text2"/>
          <w:sz w:val="20"/>
          <w:lang w:val="es-ES_tradnl"/>
        </w:rPr>
      </w:pPr>
      <w:r w:rsidRPr="00BE20A7">
        <w:rPr>
          <w:b/>
          <w:color w:val="1F497D" w:themeColor="text2"/>
          <w:sz w:val="20"/>
          <w:lang w:val="es-ES_tradnl"/>
        </w:rPr>
        <w:t xml:space="preserve">Porcentaje de </w:t>
      </w:r>
      <w:r w:rsidR="00A95742">
        <w:rPr>
          <w:b/>
          <w:color w:val="1F497D" w:themeColor="text2"/>
          <w:sz w:val="20"/>
          <w:lang w:val="es-ES_tradnl"/>
        </w:rPr>
        <w:t>CEEs</w:t>
      </w:r>
      <w:r w:rsidRPr="00BE20A7">
        <w:rPr>
          <w:b/>
          <w:color w:val="1F497D" w:themeColor="text2"/>
          <w:sz w:val="20"/>
          <w:lang w:val="es-ES_tradnl"/>
        </w:rPr>
        <w:t xml:space="preserve"> que cumplen con los requisitos de impacto social establecidos</w:t>
      </w:r>
    </w:p>
    <w:p w:rsidR="000701FC" w:rsidRPr="00BE20A7" w:rsidRDefault="00A40B21" w:rsidP="00137034">
      <w:pPr>
        <w:spacing w:line="360" w:lineRule="auto"/>
        <w:ind w:left="-1276"/>
        <w:rPr>
          <w:b/>
          <w:color w:val="1F497D" w:themeColor="text2"/>
          <w:sz w:val="20"/>
          <w:lang w:val="es-ES_tradnl"/>
        </w:rPr>
      </w:pPr>
      <w:r>
        <w:rPr>
          <w:b/>
          <w:noProof/>
          <w:color w:val="1F497D" w:themeColor="text2"/>
          <w:sz w:val="20"/>
          <w:lang w:eastAsia="es-ES"/>
        </w:rPr>
        <w:drawing>
          <wp:inline distT="0" distB="0" distL="0" distR="0">
            <wp:extent cx="6541105" cy="3838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0186" cy="3843904"/>
                    </a:xfrm>
                    <a:prstGeom prst="rect">
                      <a:avLst/>
                    </a:prstGeom>
                    <a:noFill/>
                  </pic:spPr>
                </pic:pic>
              </a:graphicData>
            </a:graphic>
          </wp:inline>
        </w:drawing>
      </w:r>
    </w:p>
    <w:p w:rsidR="000701FC" w:rsidRPr="00BE20A7" w:rsidRDefault="000701FC" w:rsidP="000701FC">
      <w:pPr>
        <w:spacing w:line="360" w:lineRule="auto"/>
        <w:jc w:val="both"/>
        <w:rPr>
          <w:b/>
          <w:color w:val="1F497D" w:themeColor="text2"/>
          <w:sz w:val="20"/>
          <w:lang w:val="es-ES_tradnl"/>
        </w:rPr>
      </w:pPr>
      <w:r w:rsidRPr="00BE20A7">
        <w:rPr>
          <w:sz w:val="20"/>
        </w:rPr>
        <w:t>Fuente: Elaboración propia</w:t>
      </w:r>
    </w:p>
    <w:p w:rsidR="000701FC" w:rsidRDefault="007751C0" w:rsidP="006919D3">
      <w:pPr>
        <w:pBdr>
          <w:bottom w:val="single" w:sz="4" w:space="1" w:color="auto"/>
        </w:pBdr>
        <w:spacing w:line="360" w:lineRule="auto"/>
        <w:jc w:val="both"/>
        <w:rPr>
          <w:sz w:val="20"/>
        </w:rPr>
      </w:pPr>
      <w:r>
        <w:rPr>
          <w:sz w:val="20"/>
        </w:rPr>
        <w:t xml:space="preserve">Nota </w:t>
      </w:r>
      <w:r w:rsidR="000701FC" w:rsidRPr="00BE20A7">
        <w:rPr>
          <w:sz w:val="20"/>
        </w:rPr>
        <w:t xml:space="preserve">explicativa de la gráfica: el gráfico refleja el porcentaje de </w:t>
      </w:r>
      <w:r w:rsidR="00A95742">
        <w:rPr>
          <w:sz w:val="20"/>
        </w:rPr>
        <w:t>CEEs</w:t>
      </w:r>
      <w:r w:rsidR="000701FC" w:rsidRPr="00BE20A7">
        <w:rPr>
          <w:sz w:val="20"/>
        </w:rPr>
        <w:t xml:space="preserve"> que cumplen con cada uno de los estándares de impacto social establecidos. En un 82% de los </w:t>
      </w:r>
      <w:r w:rsidR="00A95742">
        <w:rPr>
          <w:sz w:val="20"/>
        </w:rPr>
        <w:t>CEEs</w:t>
      </w:r>
      <w:r w:rsidR="000701FC" w:rsidRPr="00BE20A7">
        <w:rPr>
          <w:sz w:val="20"/>
        </w:rPr>
        <w:t xml:space="preserve"> los empleados con discapacidad superan el 80% de la plantilla. Un 31% de los </w:t>
      </w:r>
      <w:r w:rsidR="00A95742">
        <w:rPr>
          <w:sz w:val="20"/>
        </w:rPr>
        <w:t>CEEs</w:t>
      </w:r>
      <w:r w:rsidR="000701FC" w:rsidRPr="00BE20A7">
        <w:rPr>
          <w:sz w:val="20"/>
        </w:rPr>
        <w:t xml:space="preserve"> han tenido una evolución positiva en el porcentaje de personas con discapacidad empleadas durante el periodo 2011-2013. En un 63% de los </w:t>
      </w:r>
      <w:r w:rsidR="00A95742">
        <w:rPr>
          <w:sz w:val="20"/>
        </w:rPr>
        <w:t>CEEs</w:t>
      </w:r>
      <w:r w:rsidR="000701FC" w:rsidRPr="00BE20A7">
        <w:rPr>
          <w:sz w:val="20"/>
        </w:rPr>
        <w:t xml:space="preserve">, más de un 60% de los empleados con discapacidad tienen contrato indefinido, mientras que un 33% han tenido una evolución positiva de ese porcentaje durante el periodo 2011-2013. Un 65% de los </w:t>
      </w:r>
      <w:r w:rsidR="00A95742">
        <w:rPr>
          <w:sz w:val="20"/>
        </w:rPr>
        <w:t>CEEs</w:t>
      </w:r>
      <w:r w:rsidR="000701FC" w:rsidRPr="00BE20A7">
        <w:rPr>
          <w:sz w:val="20"/>
        </w:rPr>
        <w:t xml:space="preserve"> ofrecen un salario medio superior al salario medio de personas con discapacidad. En un 62% de los </w:t>
      </w:r>
      <w:r w:rsidR="00A95742">
        <w:rPr>
          <w:sz w:val="20"/>
        </w:rPr>
        <w:t>CEEs</w:t>
      </w:r>
      <w:r w:rsidR="000701FC" w:rsidRPr="00BE20A7">
        <w:rPr>
          <w:sz w:val="20"/>
        </w:rPr>
        <w:t xml:space="preserve">, más de un 20% de las personas con discapacidad empleadas tienen </w:t>
      </w:r>
      <w:r w:rsidR="00F72EDA">
        <w:rPr>
          <w:sz w:val="20"/>
        </w:rPr>
        <w:t>especiales dificultades,</w:t>
      </w:r>
      <w:r w:rsidR="000701FC" w:rsidRPr="00BE20A7">
        <w:rPr>
          <w:sz w:val="20"/>
        </w:rPr>
        <w:t xml:space="preserve"> y un 28% de los </w:t>
      </w:r>
      <w:r w:rsidR="00A95742">
        <w:rPr>
          <w:sz w:val="20"/>
        </w:rPr>
        <w:t>CEEs</w:t>
      </w:r>
      <w:r w:rsidR="000701FC" w:rsidRPr="00BE20A7">
        <w:rPr>
          <w:sz w:val="20"/>
        </w:rPr>
        <w:t xml:space="preserve"> han tenido una evolución positiva de ese porcentaje e</w:t>
      </w:r>
      <w:r w:rsidR="00446C2B">
        <w:rPr>
          <w:sz w:val="20"/>
        </w:rPr>
        <w:t>n el periodo 2011-2013. En un 60</w:t>
      </w:r>
      <w:r w:rsidR="000701FC" w:rsidRPr="00BE20A7">
        <w:rPr>
          <w:sz w:val="20"/>
        </w:rPr>
        <w:t xml:space="preserve">% de los </w:t>
      </w:r>
      <w:r w:rsidR="00A95742">
        <w:rPr>
          <w:sz w:val="20"/>
        </w:rPr>
        <w:t>CEEs</w:t>
      </w:r>
      <w:r w:rsidR="00446C2B">
        <w:rPr>
          <w:sz w:val="20"/>
        </w:rPr>
        <w:t>, más de un 25</w:t>
      </w:r>
      <w:r w:rsidR="000701FC" w:rsidRPr="00BE20A7">
        <w:rPr>
          <w:sz w:val="20"/>
        </w:rPr>
        <w:t xml:space="preserve">% de las personas con discapacidad empleadas son mujeres. En un 81% de los </w:t>
      </w:r>
      <w:r w:rsidR="00A95742">
        <w:rPr>
          <w:sz w:val="20"/>
        </w:rPr>
        <w:t>CEEs</w:t>
      </w:r>
      <w:r w:rsidR="000701FC" w:rsidRPr="00BE20A7">
        <w:rPr>
          <w:sz w:val="20"/>
        </w:rPr>
        <w:t xml:space="preserve">, más de un 20% de las personas con discapacidad empleadas están en edades de mayor dificultad de acceso al mercado laboral. En un 83% de los </w:t>
      </w:r>
      <w:r w:rsidR="00A95742">
        <w:rPr>
          <w:sz w:val="20"/>
        </w:rPr>
        <w:t>CEEs</w:t>
      </w:r>
      <w:r w:rsidR="000701FC" w:rsidRPr="00BE20A7">
        <w:rPr>
          <w:sz w:val="20"/>
        </w:rPr>
        <w:t xml:space="preserve">, más de un 20% de las personas con discapacidad empleadas no tienen estudios o tienen estudios básicos. Un 36% de los </w:t>
      </w:r>
      <w:r w:rsidR="00A95742">
        <w:rPr>
          <w:sz w:val="20"/>
        </w:rPr>
        <w:t>CEEs</w:t>
      </w:r>
      <w:r w:rsidR="000701FC" w:rsidRPr="00BE20A7">
        <w:rPr>
          <w:sz w:val="20"/>
        </w:rPr>
        <w:t xml:space="preserve"> están situados en municipios de menos de 20.000 habitantes. </w:t>
      </w:r>
    </w:p>
    <w:p w:rsidR="006919D3" w:rsidRPr="00BE20A7" w:rsidRDefault="006919D3" w:rsidP="006919D3">
      <w:pPr>
        <w:spacing w:line="360" w:lineRule="auto"/>
        <w:jc w:val="both"/>
        <w:rPr>
          <w:b/>
          <w:color w:val="1F497D" w:themeColor="text2"/>
          <w:sz w:val="20"/>
          <w:lang w:val="es-ES_tradnl"/>
        </w:rPr>
      </w:pPr>
      <w:r>
        <w:rPr>
          <w:sz w:val="20"/>
        </w:rPr>
        <w:t>Datos de 2011-2013</w:t>
      </w:r>
    </w:p>
    <w:p w:rsidR="00B347A1" w:rsidRDefault="00B347A1" w:rsidP="000701FC">
      <w:pPr>
        <w:spacing w:line="360" w:lineRule="auto"/>
        <w:jc w:val="both"/>
        <w:rPr>
          <w:sz w:val="24"/>
          <w:szCs w:val="24"/>
          <w:lang w:val="es-ES_tradnl"/>
        </w:rPr>
      </w:pPr>
    </w:p>
    <w:p w:rsidR="000701FC" w:rsidRDefault="000701FC" w:rsidP="000701FC">
      <w:pPr>
        <w:spacing w:line="360" w:lineRule="auto"/>
        <w:jc w:val="both"/>
        <w:rPr>
          <w:sz w:val="24"/>
          <w:szCs w:val="24"/>
          <w:lang w:val="es-ES_tradnl"/>
        </w:rPr>
      </w:pPr>
      <w:r w:rsidRPr="00BE20A7">
        <w:rPr>
          <w:sz w:val="24"/>
          <w:szCs w:val="24"/>
          <w:lang w:val="es-ES_tradnl"/>
        </w:rPr>
        <w:t>De todos los ámbitos evaluados, destacan especialmente</w:t>
      </w:r>
      <w:r w:rsidR="007108D2">
        <w:rPr>
          <w:sz w:val="24"/>
          <w:szCs w:val="24"/>
          <w:lang w:val="es-ES_tradnl"/>
        </w:rPr>
        <w:t>, por positivos,</w:t>
      </w:r>
      <w:r w:rsidRPr="00BE20A7">
        <w:rPr>
          <w:sz w:val="24"/>
          <w:szCs w:val="24"/>
          <w:lang w:val="es-ES_tradnl"/>
        </w:rPr>
        <w:t xml:space="preserve"> el empleo de personas con discapacidad, el empleo de personas en edades de difícil acceso al mercado laboral, y el</w:t>
      </w:r>
      <w:r w:rsidR="006A42A8">
        <w:rPr>
          <w:sz w:val="24"/>
          <w:szCs w:val="24"/>
          <w:lang w:val="es-ES_tradnl"/>
        </w:rPr>
        <w:t xml:space="preserve"> </w:t>
      </w:r>
      <w:r w:rsidRPr="00BE20A7">
        <w:rPr>
          <w:sz w:val="24"/>
          <w:szCs w:val="24"/>
          <w:lang w:val="es-ES_tradnl"/>
        </w:rPr>
        <w:t xml:space="preserve">empleo de personas con discapacidad sin estudios, donde el porcentaje de </w:t>
      </w:r>
      <w:r w:rsidR="007108D2">
        <w:rPr>
          <w:sz w:val="24"/>
          <w:szCs w:val="24"/>
          <w:lang w:val="es-ES_tradnl"/>
        </w:rPr>
        <w:t xml:space="preserve">centros </w:t>
      </w:r>
      <w:r w:rsidRPr="00BE20A7">
        <w:rPr>
          <w:sz w:val="24"/>
          <w:szCs w:val="24"/>
          <w:lang w:val="es-ES_tradnl"/>
        </w:rPr>
        <w:t xml:space="preserve">que </w:t>
      </w:r>
      <w:r>
        <w:rPr>
          <w:sz w:val="24"/>
          <w:szCs w:val="24"/>
          <w:lang w:val="es-ES_tradnl"/>
        </w:rPr>
        <w:t>supera el umbral establecido en el análisis</w:t>
      </w:r>
      <w:r w:rsidRPr="00BE20A7">
        <w:rPr>
          <w:sz w:val="24"/>
          <w:szCs w:val="24"/>
          <w:lang w:val="es-ES_tradnl"/>
        </w:rPr>
        <w:t xml:space="preserve"> supera el 80%. En el caso del empleo de las personas con discapacidad, esto supone que la mayoría de los </w:t>
      </w:r>
      <w:r w:rsidR="00A95742">
        <w:rPr>
          <w:sz w:val="24"/>
          <w:szCs w:val="24"/>
          <w:lang w:val="es-ES_tradnl"/>
        </w:rPr>
        <w:t>CEEs</w:t>
      </w:r>
      <w:r w:rsidRPr="00BE20A7">
        <w:rPr>
          <w:sz w:val="24"/>
          <w:szCs w:val="24"/>
          <w:lang w:val="es-ES_tradnl"/>
        </w:rPr>
        <w:t xml:space="preserve"> no pretende sólo cumplir con el requisito de empleo de personas con discapacidad para ser categorizado como centro especial de empleo—un 70% de la plantilla—sino que van más allá en la contratación de personas con discapacidad. </w:t>
      </w:r>
      <w:r w:rsidR="00836094">
        <w:rPr>
          <w:sz w:val="24"/>
          <w:szCs w:val="24"/>
          <w:lang w:val="es-ES_tradnl"/>
        </w:rPr>
        <w:t xml:space="preserve"> </w:t>
      </w:r>
    </w:p>
    <w:p w:rsidR="007108D2" w:rsidRPr="00BE20A7" w:rsidRDefault="007108D2" w:rsidP="000701FC">
      <w:pPr>
        <w:spacing w:line="360" w:lineRule="auto"/>
        <w:jc w:val="both"/>
        <w:rPr>
          <w:sz w:val="24"/>
          <w:szCs w:val="24"/>
          <w:lang w:val="es-ES_tradnl"/>
        </w:rPr>
      </w:pPr>
    </w:p>
    <w:p w:rsidR="000701FC" w:rsidRPr="00716ED3" w:rsidRDefault="000701FC" w:rsidP="00E95741">
      <w:pPr>
        <w:spacing w:line="360" w:lineRule="auto"/>
        <w:jc w:val="both"/>
        <w:rPr>
          <w:color w:val="FF0000"/>
          <w:sz w:val="24"/>
          <w:szCs w:val="24"/>
          <w:lang w:val="es-ES_tradnl"/>
        </w:rPr>
      </w:pPr>
      <w:r w:rsidRPr="00BE20A7">
        <w:rPr>
          <w:sz w:val="24"/>
          <w:szCs w:val="24"/>
          <w:lang w:val="es-ES_tradnl"/>
        </w:rPr>
        <w:t xml:space="preserve">Los </w:t>
      </w:r>
      <w:r w:rsidR="00A95742">
        <w:rPr>
          <w:sz w:val="24"/>
          <w:szCs w:val="24"/>
          <w:lang w:val="es-ES_tradnl"/>
        </w:rPr>
        <w:t>CEEs</w:t>
      </w:r>
      <w:r w:rsidRPr="00BE20A7">
        <w:rPr>
          <w:sz w:val="24"/>
          <w:szCs w:val="24"/>
          <w:lang w:val="es-ES_tradnl"/>
        </w:rPr>
        <w:t xml:space="preserve"> también obtienen resultados muy positivos en el ámbito de la estabilidad del empleo, la equidad salarial y </w:t>
      </w:r>
      <w:r>
        <w:rPr>
          <w:sz w:val="24"/>
          <w:szCs w:val="24"/>
          <w:lang w:val="es-ES_tradnl"/>
        </w:rPr>
        <w:t>del apoyo a</w:t>
      </w:r>
      <w:r w:rsidRPr="00BE20A7">
        <w:rPr>
          <w:sz w:val="24"/>
          <w:szCs w:val="24"/>
          <w:lang w:val="es-ES_tradnl"/>
        </w:rPr>
        <w:t xml:space="preserve"> las personas con </w:t>
      </w:r>
      <w:r>
        <w:rPr>
          <w:sz w:val="24"/>
          <w:szCs w:val="24"/>
          <w:lang w:val="es-ES_tradnl"/>
        </w:rPr>
        <w:t>especiales dificultades</w:t>
      </w:r>
      <w:r w:rsidRPr="00BE20A7">
        <w:rPr>
          <w:sz w:val="24"/>
          <w:szCs w:val="24"/>
          <w:lang w:val="es-ES_tradnl"/>
        </w:rPr>
        <w:t xml:space="preserve">. En esas tres áreas, más de un 60% de los </w:t>
      </w:r>
      <w:r w:rsidR="00A95742">
        <w:rPr>
          <w:sz w:val="24"/>
          <w:szCs w:val="24"/>
          <w:lang w:val="es-ES_tradnl"/>
        </w:rPr>
        <w:t>CEEs</w:t>
      </w:r>
      <w:r w:rsidRPr="00BE20A7">
        <w:rPr>
          <w:sz w:val="24"/>
          <w:szCs w:val="24"/>
          <w:lang w:val="es-ES_tradnl"/>
        </w:rPr>
        <w:t xml:space="preserve"> superan los requisitos establecidos. Merece especial atención el dato de estabilidad en el empleo. El hecho de que un 63% de los </w:t>
      </w:r>
      <w:r w:rsidR="00A95742">
        <w:rPr>
          <w:sz w:val="24"/>
          <w:szCs w:val="24"/>
          <w:lang w:val="es-ES_tradnl"/>
        </w:rPr>
        <w:t>CEEs</w:t>
      </w:r>
      <w:r w:rsidRPr="00BE20A7">
        <w:rPr>
          <w:sz w:val="24"/>
          <w:szCs w:val="24"/>
          <w:lang w:val="es-ES_tradnl"/>
        </w:rPr>
        <w:t xml:space="preserve"> tenga a más del 60% de sus empleados con discapacidad con contrato indefinido es muy </w:t>
      </w:r>
      <w:r w:rsidR="009B3F54">
        <w:rPr>
          <w:sz w:val="24"/>
          <w:szCs w:val="24"/>
          <w:lang w:val="es-ES_tradnl"/>
        </w:rPr>
        <w:t>positivo.</w:t>
      </w:r>
    </w:p>
    <w:p w:rsidR="000701FC" w:rsidRPr="00BE20A7" w:rsidRDefault="000701FC" w:rsidP="000701FC">
      <w:pPr>
        <w:spacing w:line="360" w:lineRule="auto"/>
        <w:jc w:val="both"/>
        <w:rPr>
          <w:sz w:val="24"/>
          <w:szCs w:val="24"/>
          <w:lang w:val="es-ES_tradnl"/>
        </w:rPr>
      </w:pPr>
    </w:p>
    <w:p w:rsidR="00B347A1" w:rsidRPr="006919D3" w:rsidRDefault="000701FC" w:rsidP="000701FC">
      <w:pPr>
        <w:spacing w:line="360" w:lineRule="auto"/>
        <w:jc w:val="both"/>
        <w:rPr>
          <w:sz w:val="24"/>
          <w:szCs w:val="24"/>
          <w:lang w:val="es-ES_tradnl"/>
        </w:rPr>
      </w:pPr>
      <w:r w:rsidRPr="00BE20A7">
        <w:rPr>
          <w:sz w:val="24"/>
          <w:szCs w:val="24"/>
          <w:lang w:val="es-ES_tradnl"/>
        </w:rPr>
        <w:t xml:space="preserve">Los porcentajes de creación de empleo y de creación de contratos indefinidos </w:t>
      </w:r>
      <w:r>
        <w:rPr>
          <w:sz w:val="24"/>
          <w:szCs w:val="24"/>
          <w:lang w:val="es-ES_tradnl"/>
        </w:rPr>
        <w:t>son también reseñables</w:t>
      </w:r>
      <w:r w:rsidRPr="00BE20A7">
        <w:rPr>
          <w:sz w:val="24"/>
          <w:szCs w:val="24"/>
          <w:lang w:val="es-ES_tradnl"/>
        </w:rPr>
        <w:t xml:space="preserve">. Por ejemplo, el 31% de los </w:t>
      </w:r>
      <w:r w:rsidR="007108D2">
        <w:rPr>
          <w:sz w:val="24"/>
          <w:szCs w:val="24"/>
          <w:lang w:val="es-ES_tradnl"/>
        </w:rPr>
        <w:t xml:space="preserve">centros </w:t>
      </w:r>
      <w:r w:rsidRPr="00BE20A7">
        <w:rPr>
          <w:sz w:val="24"/>
          <w:szCs w:val="24"/>
          <w:lang w:val="es-ES_tradnl"/>
        </w:rPr>
        <w:t>consiguió</w:t>
      </w:r>
      <w:r w:rsidR="007108D2">
        <w:rPr>
          <w:sz w:val="24"/>
          <w:szCs w:val="24"/>
          <w:lang w:val="es-ES_tradnl"/>
        </w:rPr>
        <w:t>, en el periodo analizado,</w:t>
      </w:r>
      <w:r w:rsidRPr="00BE20A7">
        <w:rPr>
          <w:sz w:val="24"/>
          <w:szCs w:val="24"/>
          <w:lang w:val="es-ES_tradnl"/>
        </w:rPr>
        <w:t xml:space="preserve"> c</w:t>
      </w:r>
      <w:r w:rsidR="007108D2">
        <w:rPr>
          <w:sz w:val="24"/>
          <w:szCs w:val="24"/>
          <w:lang w:val="es-ES_tradnl"/>
        </w:rPr>
        <w:t xml:space="preserve">rear empleo durante ese periodo, </w:t>
      </w:r>
      <w:r w:rsidRPr="00BE20A7">
        <w:rPr>
          <w:sz w:val="24"/>
          <w:szCs w:val="24"/>
          <w:lang w:val="es-ES_tradnl"/>
        </w:rPr>
        <w:t xml:space="preserve">mientras la tendencia en todo el país era la destrucción </w:t>
      </w:r>
      <w:r>
        <w:rPr>
          <w:sz w:val="24"/>
          <w:szCs w:val="24"/>
          <w:lang w:val="es-ES_tradnl"/>
        </w:rPr>
        <w:t>neta de empleo</w:t>
      </w:r>
      <w:r w:rsidRPr="00BE20A7">
        <w:rPr>
          <w:sz w:val="24"/>
          <w:szCs w:val="24"/>
          <w:lang w:val="es-ES_tradnl"/>
        </w:rPr>
        <w:t xml:space="preserve">. De la misma forma, el 33% de los </w:t>
      </w:r>
      <w:r w:rsidR="00A95742">
        <w:rPr>
          <w:sz w:val="24"/>
          <w:szCs w:val="24"/>
          <w:lang w:val="es-ES_tradnl"/>
        </w:rPr>
        <w:t>CEEs</w:t>
      </w:r>
      <w:r w:rsidRPr="00BE20A7">
        <w:rPr>
          <w:sz w:val="24"/>
          <w:szCs w:val="24"/>
          <w:lang w:val="es-ES_tradnl"/>
        </w:rPr>
        <w:t xml:space="preserve"> </w:t>
      </w:r>
      <w:r w:rsidR="007108D2">
        <w:rPr>
          <w:sz w:val="24"/>
          <w:szCs w:val="24"/>
          <w:lang w:val="es-ES_tradnl"/>
        </w:rPr>
        <w:t>aumentaron</w:t>
      </w:r>
      <w:r w:rsidRPr="00BE20A7">
        <w:rPr>
          <w:sz w:val="24"/>
          <w:szCs w:val="24"/>
          <w:lang w:val="es-ES_tradnl"/>
        </w:rPr>
        <w:t xml:space="preserve"> el porcentaje de empleados con contrato indefinido en el periodo 2011-2013</w:t>
      </w:r>
      <w:r w:rsidR="007108D2">
        <w:rPr>
          <w:sz w:val="24"/>
          <w:szCs w:val="24"/>
          <w:lang w:val="es-ES_tradnl"/>
        </w:rPr>
        <w:t xml:space="preserve">, </w:t>
      </w:r>
      <w:r w:rsidRPr="00BE20A7">
        <w:rPr>
          <w:sz w:val="24"/>
          <w:szCs w:val="24"/>
          <w:lang w:val="es-ES_tradnl"/>
        </w:rPr>
        <w:t>mientras el porcentaje de asalariados c</w:t>
      </w:r>
      <w:r w:rsidR="007108D2">
        <w:rPr>
          <w:sz w:val="24"/>
          <w:szCs w:val="24"/>
          <w:lang w:val="es-ES_tradnl"/>
        </w:rPr>
        <w:t>on contrato indefinido descendía</w:t>
      </w:r>
      <w:r w:rsidRPr="00BE20A7">
        <w:rPr>
          <w:sz w:val="24"/>
          <w:szCs w:val="24"/>
          <w:lang w:val="es-ES_tradnl"/>
        </w:rPr>
        <w:t xml:space="preserve"> en toda España.</w:t>
      </w:r>
      <w:r w:rsidRPr="00BE20A7">
        <w:rPr>
          <w:sz w:val="24"/>
          <w:szCs w:val="24"/>
        </w:rPr>
        <w:footnoteReference w:id="7"/>
      </w:r>
    </w:p>
    <w:p w:rsidR="007108D2" w:rsidRDefault="007108D2" w:rsidP="000701FC">
      <w:pPr>
        <w:spacing w:line="360" w:lineRule="auto"/>
        <w:jc w:val="both"/>
        <w:rPr>
          <w:sz w:val="20"/>
          <w:lang w:val="es-ES_tradnl"/>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360"/>
        <w:gridCol w:w="4360"/>
      </w:tblGrid>
      <w:tr w:rsidR="00046EC0" w:rsidRPr="00194813" w:rsidTr="00585D05">
        <w:tc>
          <w:tcPr>
            <w:tcW w:w="4360" w:type="dxa"/>
          </w:tcPr>
          <w:p w:rsidR="00046EC0" w:rsidRPr="000701FC" w:rsidRDefault="00046EC0" w:rsidP="00344521">
            <w:pPr>
              <w:spacing w:line="360" w:lineRule="auto"/>
              <w:jc w:val="both"/>
              <w:rPr>
                <w:b/>
                <w:sz w:val="20"/>
                <w:lang w:val="es-ES_tradnl"/>
              </w:rPr>
            </w:pPr>
            <w:r w:rsidRPr="000701FC">
              <w:rPr>
                <w:b/>
                <w:sz w:val="20"/>
                <w:lang w:val="es-ES_tradnl"/>
              </w:rPr>
              <w:t>Fortalezas</w:t>
            </w:r>
          </w:p>
          <w:p w:rsidR="00C52675" w:rsidRDefault="00C52675" w:rsidP="00344521">
            <w:pPr>
              <w:pStyle w:val="Prrafodelista"/>
              <w:numPr>
                <w:ilvl w:val="0"/>
                <w:numId w:val="32"/>
              </w:numPr>
              <w:spacing w:line="360" w:lineRule="auto"/>
              <w:jc w:val="both"/>
              <w:rPr>
                <w:sz w:val="20"/>
                <w:lang w:val="es-ES_tradnl"/>
              </w:rPr>
            </w:pPr>
            <w:r>
              <w:rPr>
                <w:sz w:val="20"/>
                <w:lang w:val="es-ES_tradnl"/>
              </w:rPr>
              <w:t xml:space="preserve">Los </w:t>
            </w:r>
            <w:r w:rsidR="007108D2">
              <w:rPr>
                <w:sz w:val="20"/>
                <w:lang w:val="es-ES_tradnl"/>
              </w:rPr>
              <w:t xml:space="preserve">centros </w:t>
            </w:r>
            <w:r>
              <w:rPr>
                <w:sz w:val="20"/>
                <w:lang w:val="es-ES_tradnl"/>
              </w:rPr>
              <w:t>destacan sobre todo en el e</w:t>
            </w:r>
            <w:r w:rsidR="005856EB">
              <w:rPr>
                <w:sz w:val="20"/>
                <w:lang w:val="es-ES_tradnl"/>
              </w:rPr>
              <w:t>mpleo de personas con discapacidad</w:t>
            </w:r>
            <w:r w:rsidR="0082061C">
              <w:rPr>
                <w:sz w:val="20"/>
                <w:lang w:val="es-ES_tradnl"/>
              </w:rPr>
              <w:t xml:space="preserve"> y </w:t>
            </w:r>
            <w:r w:rsidR="005856EB">
              <w:rPr>
                <w:sz w:val="20"/>
                <w:lang w:val="es-ES_tradnl"/>
              </w:rPr>
              <w:t xml:space="preserve">la </w:t>
            </w:r>
            <w:r w:rsidR="0082061C">
              <w:rPr>
                <w:sz w:val="20"/>
                <w:lang w:val="es-ES_tradnl"/>
              </w:rPr>
              <w:t>evo</w:t>
            </w:r>
            <w:r w:rsidR="00717829">
              <w:rPr>
                <w:sz w:val="20"/>
                <w:lang w:val="es-ES_tradnl"/>
              </w:rPr>
              <w:t>lución</w:t>
            </w:r>
            <w:r w:rsidR="005856EB">
              <w:rPr>
                <w:sz w:val="20"/>
                <w:lang w:val="es-ES_tradnl"/>
              </w:rPr>
              <w:t xml:space="preserve"> positiva</w:t>
            </w:r>
            <w:r w:rsidR="008B0623">
              <w:rPr>
                <w:sz w:val="20"/>
                <w:lang w:val="es-ES_tradnl"/>
              </w:rPr>
              <w:t xml:space="preserve"> </w:t>
            </w:r>
            <w:r w:rsidR="0082061C">
              <w:rPr>
                <w:sz w:val="20"/>
                <w:lang w:val="es-ES_tradnl"/>
              </w:rPr>
              <w:t>del mismo</w:t>
            </w:r>
            <w:r w:rsidR="005856EB">
              <w:rPr>
                <w:sz w:val="20"/>
                <w:lang w:val="es-ES_tradnl"/>
              </w:rPr>
              <w:t>:</w:t>
            </w:r>
            <w:r>
              <w:rPr>
                <w:sz w:val="20"/>
                <w:lang w:val="es-ES_tradnl"/>
              </w:rPr>
              <w:t xml:space="preserve"> los porcentajes de </w:t>
            </w:r>
            <w:r w:rsidR="005856EB">
              <w:rPr>
                <w:sz w:val="20"/>
                <w:lang w:val="es-ES_tradnl"/>
              </w:rPr>
              <w:t>personas con discapacidad</w:t>
            </w:r>
            <w:r>
              <w:rPr>
                <w:sz w:val="20"/>
                <w:lang w:val="es-ES_tradnl"/>
              </w:rPr>
              <w:t xml:space="preserve"> empleadas sobre el total es </w:t>
            </w:r>
            <w:r w:rsidR="00EA49B8">
              <w:rPr>
                <w:sz w:val="20"/>
                <w:lang w:val="es-ES_tradnl"/>
              </w:rPr>
              <w:t xml:space="preserve">muy elevado </w:t>
            </w:r>
            <w:r>
              <w:rPr>
                <w:sz w:val="20"/>
                <w:lang w:val="es-ES_tradnl"/>
              </w:rPr>
              <w:t xml:space="preserve">y supera con creces los requisitos para ser considerado </w:t>
            </w:r>
            <w:r w:rsidR="005856EB">
              <w:rPr>
                <w:sz w:val="20"/>
                <w:lang w:val="es-ES_tradnl"/>
              </w:rPr>
              <w:t>centro especial de empleo</w:t>
            </w:r>
            <w:r>
              <w:rPr>
                <w:sz w:val="20"/>
                <w:lang w:val="es-ES_tradnl"/>
              </w:rPr>
              <w:t xml:space="preserve">. </w:t>
            </w:r>
          </w:p>
          <w:p w:rsidR="00046EC0" w:rsidRPr="000701FC" w:rsidRDefault="00C52675" w:rsidP="00A60069">
            <w:pPr>
              <w:pStyle w:val="Prrafodelista"/>
              <w:numPr>
                <w:ilvl w:val="0"/>
                <w:numId w:val="32"/>
              </w:numPr>
              <w:spacing w:line="360" w:lineRule="auto"/>
              <w:jc w:val="both"/>
              <w:rPr>
                <w:sz w:val="20"/>
                <w:lang w:val="es-ES_tradnl"/>
              </w:rPr>
            </w:pPr>
            <w:r>
              <w:rPr>
                <w:sz w:val="20"/>
                <w:lang w:val="es-ES_tradnl"/>
              </w:rPr>
              <w:t xml:space="preserve">También muestran un desempeño </w:t>
            </w:r>
            <w:r w:rsidR="00A60069">
              <w:rPr>
                <w:sz w:val="20"/>
                <w:lang w:val="es-ES_tradnl"/>
              </w:rPr>
              <w:t>destacable</w:t>
            </w:r>
            <w:r>
              <w:rPr>
                <w:sz w:val="20"/>
                <w:lang w:val="es-ES_tradnl"/>
              </w:rPr>
              <w:t xml:space="preserve"> en lo relativo a la estabilidad laboral que ofrecen a sus empleados así como en lo relativo a la equidad de personas sin estudios o con estudios básicos. </w:t>
            </w:r>
          </w:p>
        </w:tc>
        <w:tc>
          <w:tcPr>
            <w:tcW w:w="4360" w:type="dxa"/>
          </w:tcPr>
          <w:p w:rsidR="00046EC0" w:rsidRPr="000701FC" w:rsidRDefault="00046EC0" w:rsidP="00344521">
            <w:pPr>
              <w:spacing w:line="360" w:lineRule="auto"/>
              <w:jc w:val="both"/>
              <w:rPr>
                <w:b/>
                <w:sz w:val="20"/>
                <w:lang w:val="es-ES_tradnl"/>
              </w:rPr>
            </w:pPr>
            <w:r w:rsidRPr="000701FC">
              <w:rPr>
                <w:b/>
                <w:sz w:val="20"/>
                <w:lang w:val="es-ES_tradnl"/>
              </w:rPr>
              <w:t>Debilidades</w:t>
            </w:r>
          </w:p>
          <w:p w:rsidR="00046EC0" w:rsidRPr="000701FC" w:rsidRDefault="007D11EC" w:rsidP="007108D2">
            <w:pPr>
              <w:pStyle w:val="Prrafodelista"/>
              <w:numPr>
                <w:ilvl w:val="0"/>
                <w:numId w:val="33"/>
              </w:numPr>
              <w:spacing w:line="360" w:lineRule="auto"/>
              <w:jc w:val="both"/>
              <w:rPr>
                <w:sz w:val="20"/>
                <w:lang w:val="es-ES_tradnl"/>
              </w:rPr>
            </w:pPr>
            <w:r>
              <w:rPr>
                <w:sz w:val="20"/>
                <w:lang w:val="es-ES_tradnl"/>
              </w:rPr>
              <w:t xml:space="preserve">Los </w:t>
            </w:r>
            <w:r w:rsidR="007108D2">
              <w:rPr>
                <w:sz w:val="20"/>
                <w:lang w:val="es-ES_tradnl"/>
              </w:rPr>
              <w:t>centros</w:t>
            </w:r>
            <w:r>
              <w:rPr>
                <w:sz w:val="20"/>
                <w:lang w:val="es-ES_tradnl"/>
              </w:rPr>
              <w:t xml:space="preserve"> </w:t>
            </w:r>
            <w:r w:rsidR="007108D2">
              <w:rPr>
                <w:sz w:val="20"/>
                <w:lang w:val="es-ES_tradnl"/>
              </w:rPr>
              <w:t xml:space="preserve">tienen oportunidades de mejora </w:t>
            </w:r>
            <w:r>
              <w:rPr>
                <w:sz w:val="20"/>
                <w:lang w:val="es-ES_tradnl"/>
              </w:rPr>
              <w:t>en lo que se refiere al empleo femenino</w:t>
            </w:r>
            <w:r w:rsidR="007108D2">
              <w:rPr>
                <w:sz w:val="20"/>
                <w:lang w:val="es-ES_tradnl"/>
              </w:rPr>
              <w:t xml:space="preserve"> </w:t>
            </w:r>
            <w:r>
              <w:rPr>
                <w:sz w:val="20"/>
                <w:lang w:val="es-ES_tradnl"/>
              </w:rPr>
              <w:t xml:space="preserve">y a la dinamización de entornos rurales, dado que la mayoría de los </w:t>
            </w:r>
            <w:r w:rsidR="00A95742">
              <w:rPr>
                <w:sz w:val="20"/>
                <w:lang w:val="es-ES_tradnl"/>
              </w:rPr>
              <w:t>CEEs</w:t>
            </w:r>
            <w:r>
              <w:rPr>
                <w:sz w:val="20"/>
                <w:lang w:val="es-ES_tradnl"/>
              </w:rPr>
              <w:t xml:space="preserve"> se encuentran en </w:t>
            </w:r>
            <w:r w:rsidR="006A390C">
              <w:rPr>
                <w:sz w:val="20"/>
                <w:lang w:val="es-ES_tradnl"/>
              </w:rPr>
              <w:t xml:space="preserve">núcleos urbanos de más de 20.000 habitantes. </w:t>
            </w:r>
            <w:r>
              <w:rPr>
                <w:sz w:val="20"/>
                <w:lang w:val="es-ES_tradnl"/>
              </w:rPr>
              <w:t xml:space="preserve"> </w:t>
            </w:r>
          </w:p>
        </w:tc>
      </w:tr>
      <w:tr w:rsidR="00E91993" w:rsidRPr="000972D2" w:rsidTr="00585D05">
        <w:tc>
          <w:tcPr>
            <w:tcW w:w="8720" w:type="dxa"/>
            <w:gridSpan w:val="2"/>
          </w:tcPr>
          <w:p w:rsidR="00E91993" w:rsidRDefault="00E91993" w:rsidP="00E91993">
            <w:pPr>
              <w:spacing w:line="360" w:lineRule="auto"/>
              <w:jc w:val="both"/>
              <w:rPr>
                <w:b/>
                <w:sz w:val="20"/>
                <w:lang w:val="es-ES_tradnl"/>
              </w:rPr>
            </w:pPr>
            <w:r w:rsidRPr="007B3767">
              <w:rPr>
                <w:b/>
                <w:sz w:val="20"/>
                <w:lang w:val="es-ES_tradnl"/>
              </w:rPr>
              <w:t>Áreas para avanzar</w:t>
            </w:r>
            <w:r>
              <w:rPr>
                <w:b/>
                <w:sz w:val="20"/>
                <w:lang w:val="es-ES_tradnl"/>
              </w:rPr>
              <w:t xml:space="preserve"> </w:t>
            </w:r>
          </w:p>
          <w:p w:rsidR="00E91993" w:rsidRPr="00A90E0B" w:rsidRDefault="00E91993" w:rsidP="00E91993">
            <w:pPr>
              <w:pStyle w:val="Prrafodelista"/>
              <w:numPr>
                <w:ilvl w:val="0"/>
                <w:numId w:val="33"/>
              </w:numPr>
              <w:spacing w:line="360" w:lineRule="auto"/>
              <w:jc w:val="both"/>
              <w:rPr>
                <w:sz w:val="20"/>
                <w:lang w:val="es-ES_tradnl"/>
              </w:rPr>
            </w:pPr>
            <w:r w:rsidRPr="005856EB">
              <w:rPr>
                <w:sz w:val="20"/>
                <w:lang w:val="es-ES_tradnl"/>
              </w:rPr>
              <w:t xml:space="preserve">Además de en lo referente al empleo femenino y a la dinamización de entornos rurales, los </w:t>
            </w:r>
            <w:r w:rsidR="00A95742">
              <w:rPr>
                <w:sz w:val="20"/>
                <w:lang w:val="es-ES_tradnl"/>
              </w:rPr>
              <w:t>CEEs</w:t>
            </w:r>
            <w:r w:rsidRPr="005856EB">
              <w:rPr>
                <w:sz w:val="20"/>
                <w:lang w:val="es-ES_tradnl"/>
              </w:rPr>
              <w:t xml:space="preserve"> presentan oportunidades de mejora en los respectivo al empleo de </w:t>
            </w:r>
            <w:r w:rsidR="002329D9">
              <w:rPr>
                <w:sz w:val="20"/>
                <w:lang w:val="es-ES_tradnl"/>
              </w:rPr>
              <w:t>personas con discapacidad con especiales dificultades</w:t>
            </w:r>
            <w:r>
              <w:rPr>
                <w:sz w:val="20"/>
                <w:lang w:val="es-ES_tradnl"/>
              </w:rPr>
              <w:t xml:space="preserve">. El porcentaje de </w:t>
            </w:r>
            <w:r w:rsidR="000972D2">
              <w:rPr>
                <w:sz w:val="20"/>
                <w:lang w:val="es-ES_tradnl"/>
              </w:rPr>
              <w:t>trabajadores con especiales dificultades</w:t>
            </w:r>
            <w:r>
              <w:rPr>
                <w:sz w:val="20"/>
                <w:lang w:val="es-ES_tradnl"/>
              </w:rPr>
              <w:t xml:space="preserve"> con respecto al total de personas con discapacidad empleadas (40%) tiene margen de mejora, y en el período de 2011-2013, sólo aumentó en un 2%.</w:t>
            </w:r>
          </w:p>
          <w:p w:rsidR="00E91993" w:rsidRPr="000701FC" w:rsidRDefault="00E91993" w:rsidP="00344521">
            <w:pPr>
              <w:spacing w:line="360" w:lineRule="auto"/>
              <w:jc w:val="both"/>
              <w:rPr>
                <w:b/>
                <w:sz w:val="20"/>
                <w:lang w:val="es-ES_tradnl"/>
              </w:rPr>
            </w:pPr>
          </w:p>
        </w:tc>
      </w:tr>
    </w:tbl>
    <w:p w:rsidR="00B347A1" w:rsidRDefault="00B347A1" w:rsidP="000701FC">
      <w:pPr>
        <w:spacing w:line="360" w:lineRule="auto"/>
        <w:jc w:val="both"/>
        <w:rPr>
          <w:sz w:val="20"/>
          <w:lang w:val="es-ES_tradnl"/>
        </w:rPr>
      </w:pPr>
    </w:p>
    <w:p w:rsidR="00A90E0B" w:rsidRPr="00BE20A7" w:rsidRDefault="00A90E0B" w:rsidP="00A90E0B">
      <w:pPr>
        <w:pStyle w:val="Ttulo3"/>
        <w:rPr>
          <w:lang w:val="es-ES_tradnl"/>
        </w:rPr>
      </w:pPr>
      <w:bookmarkStart w:id="233" w:name="_Toc410916878"/>
      <w:r w:rsidRPr="00BE20A7">
        <w:rPr>
          <w:lang w:val="es-ES_tradnl"/>
        </w:rPr>
        <w:t>Equidad Salarial</w:t>
      </w:r>
      <w:bookmarkEnd w:id="233"/>
    </w:p>
    <w:p w:rsidR="00A90E0B" w:rsidRPr="00BE20A7" w:rsidRDefault="00A90E0B" w:rsidP="00A90E0B">
      <w:pPr>
        <w:spacing w:line="360" w:lineRule="auto"/>
        <w:jc w:val="both"/>
        <w:rPr>
          <w:sz w:val="24"/>
          <w:szCs w:val="24"/>
          <w:lang w:val="es-ES_tradnl"/>
        </w:rPr>
      </w:pPr>
    </w:p>
    <w:p w:rsidR="00A90E0B" w:rsidRPr="00BE20A7" w:rsidRDefault="00A90E0B" w:rsidP="00A90E0B">
      <w:pPr>
        <w:spacing w:line="360" w:lineRule="auto"/>
        <w:jc w:val="both"/>
        <w:rPr>
          <w:sz w:val="24"/>
          <w:szCs w:val="24"/>
          <w:lang w:val="es-ES_tradnl"/>
        </w:rPr>
      </w:pPr>
      <w:r w:rsidRPr="00BE20A7">
        <w:rPr>
          <w:sz w:val="24"/>
          <w:szCs w:val="24"/>
          <w:lang w:val="es-ES_tradnl"/>
        </w:rPr>
        <w:t>Según la Muestra Continua de Vida Laboral, el salario medio de las personas con discapacidad es de 12.000€.</w:t>
      </w:r>
      <w:r w:rsidRPr="00BE20A7">
        <w:rPr>
          <w:sz w:val="24"/>
          <w:szCs w:val="24"/>
          <w:lang w:val="es-ES_tradnl"/>
        </w:rPr>
        <w:footnoteReference w:id="8"/>
      </w:r>
      <w:r w:rsidRPr="00BE20A7">
        <w:rPr>
          <w:sz w:val="24"/>
          <w:szCs w:val="24"/>
          <w:lang w:val="es-ES_tradnl"/>
        </w:rPr>
        <w:t xml:space="preserve"> Esa cantidad es la que se ha tomado como referencia para llevar a cabo el análisis de impacto social. El Instituto Nacional de Estadística ofrece una cifra superior, un salario medio de 20.000€ para las personas con discapacidad.</w:t>
      </w:r>
      <w:r w:rsidRPr="00BE20A7">
        <w:rPr>
          <w:sz w:val="24"/>
          <w:szCs w:val="24"/>
          <w:lang w:val="es-ES_tradnl"/>
        </w:rPr>
        <w:footnoteReference w:id="9"/>
      </w:r>
      <w:r w:rsidRPr="00BE20A7">
        <w:rPr>
          <w:sz w:val="24"/>
          <w:szCs w:val="24"/>
          <w:lang w:val="es-ES_tradnl"/>
        </w:rPr>
        <w:t xml:space="preserve"> En esta sección examinamos un poco más de cerca los resultados de equidad salarial tomando uno y otro valor como referencia. </w:t>
      </w:r>
    </w:p>
    <w:p w:rsidR="00A90E0B" w:rsidRPr="00BE20A7" w:rsidRDefault="00A90E0B" w:rsidP="00A90E0B">
      <w:pPr>
        <w:spacing w:line="360" w:lineRule="auto"/>
        <w:jc w:val="both"/>
        <w:rPr>
          <w:sz w:val="24"/>
          <w:szCs w:val="24"/>
          <w:lang w:val="es-ES_tradnl"/>
        </w:rPr>
      </w:pPr>
    </w:p>
    <w:p w:rsidR="00A90E0B" w:rsidRDefault="00A90E0B" w:rsidP="00A90E0B">
      <w:pPr>
        <w:spacing w:line="360" w:lineRule="auto"/>
        <w:jc w:val="both"/>
        <w:rPr>
          <w:sz w:val="24"/>
          <w:szCs w:val="24"/>
          <w:lang w:val="es-ES_tradnl"/>
        </w:rPr>
      </w:pPr>
      <w:r w:rsidRPr="00BE20A7">
        <w:rPr>
          <w:sz w:val="24"/>
          <w:szCs w:val="24"/>
          <w:lang w:val="es-ES_tradnl"/>
        </w:rPr>
        <w:t xml:space="preserve">Si tomamos el valor de 12.000€ como el salario medio de las personas con discapacidad, el ratio de equidad salarial de los </w:t>
      </w:r>
      <w:r w:rsidR="00263316">
        <w:rPr>
          <w:sz w:val="24"/>
          <w:szCs w:val="24"/>
          <w:lang w:val="es-ES_tradnl"/>
        </w:rPr>
        <w:t>CEEs</w:t>
      </w:r>
      <w:r w:rsidRPr="00BE20A7">
        <w:rPr>
          <w:sz w:val="24"/>
          <w:szCs w:val="24"/>
          <w:lang w:val="es-ES_tradnl"/>
        </w:rPr>
        <w:t xml:space="preserve"> de Castilla y León es de 1,41; es decir, ofrecen salarios </w:t>
      </w:r>
      <w:r>
        <w:rPr>
          <w:sz w:val="24"/>
          <w:szCs w:val="24"/>
          <w:lang w:val="es-ES_tradnl"/>
        </w:rPr>
        <w:t xml:space="preserve">que multiplican por </w:t>
      </w:r>
      <w:r w:rsidRPr="00BE20A7">
        <w:rPr>
          <w:sz w:val="24"/>
          <w:szCs w:val="24"/>
          <w:lang w:val="es-ES_tradnl"/>
        </w:rPr>
        <w:t xml:space="preserve">1,41 veces el salario medio. </w:t>
      </w:r>
    </w:p>
    <w:p w:rsidR="00163CD7" w:rsidRPr="00BE20A7" w:rsidRDefault="00163CD7" w:rsidP="00A90E0B">
      <w:pPr>
        <w:spacing w:line="360" w:lineRule="auto"/>
        <w:jc w:val="both"/>
        <w:rPr>
          <w:sz w:val="24"/>
          <w:szCs w:val="24"/>
          <w:lang w:val="es-ES_tradnl"/>
        </w:rPr>
      </w:pPr>
    </w:p>
    <w:p w:rsidR="00A90E0B" w:rsidRDefault="006C4128" w:rsidP="00842404">
      <w:pPr>
        <w:spacing w:line="360" w:lineRule="auto"/>
        <w:ind w:left="284" w:right="-426"/>
        <w:jc w:val="both"/>
      </w:pPr>
      <w:r w:rsidRPr="006C4128">
        <w:rPr>
          <w:noProof/>
          <w:lang w:eastAsia="es-ES"/>
        </w:rPr>
        <w:t xml:space="preserve"> </w:t>
      </w:r>
      <w:r w:rsidR="00F859CA">
        <w:rPr>
          <w:noProof/>
          <w:lang w:eastAsia="es-ES"/>
        </w:rPr>
        <w:drawing>
          <wp:inline distT="0" distB="0" distL="0" distR="0">
            <wp:extent cx="4695825" cy="2533650"/>
            <wp:effectExtent l="0" t="0" r="0" b="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90E0B" w:rsidRPr="00BE20A7" w:rsidRDefault="00A90E0B" w:rsidP="00A90E0B">
      <w:pPr>
        <w:spacing w:line="360" w:lineRule="auto"/>
      </w:pPr>
      <w:r w:rsidRPr="00BE20A7">
        <w:rPr>
          <w:sz w:val="20"/>
          <w:lang w:val="es-ES_tradnl"/>
        </w:rPr>
        <w:t>Fuente: Elaboración propia</w:t>
      </w:r>
    </w:p>
    <w:p w:rsidR="00A90E0B" w:rsidRDefault="007751C0" w:rsidP="00A90E0B">
      <w:pPr>
        <w:pBdr>
          <w:bottom w:val="single" w:sz="4" w:space="1" w:color="auto"/>
        </w:pBdr>
        <w:autoSpaceDE w:val="0"/>
        <w:autoSpaceDN w:val="0"/>
        <w:spacing w:line="360" w:lineRule="auto"/>
        <w:jc w:val="both"/>
        <w:rPr>
          <w:sz w:val="20"/>
          <w:lang w:val="es-ES_tradnl"/>
        </w:rPr>
      </w:pPr>
      <w:r>
        <w:rPr>
          <w:sz w:val="20"/>
          <w:lang w:val="es-ES_tradnl"/>
        </w:rPr>
        <w:t xml:space="preserve">Nota </w:t>
      </w:r>
      <w:r w:rsidR="00A90E0B" w:rsidRPr="00BE20A7">
        <w:rPr>
          <w:sz w:val="20"/>
          <w:lang w:val="es-ES_tradnl"/>
        </w:rPr>
        <w:t xml:space="preserve">explicativa de la gráfica: la gráfica: Eje vertical: ratio entre el salario medio de los </w:t>
      </w:r>
      <w:r w:rsidR="00A95742">
        <w:rPr>
          <w:sz w:val="20"/>
          <w:lang w:val="es-ES_tradnl"/>
        </w:rPr>
        <w:t>CEEs</w:t>
      </w:r>
      <w:r w:rsidR="00A90E0B" w:rsidRPr="00BE20A7">
        <w:rPr>
          <w:sz w:val="20"/>
          <w:lang w:val="es-ES_tradnl"/>
        </w:rPr>
        <w:t xml:space="preserve"> y el salario medio nacional para las personas con discapacidad. Eje horizontal: estructura de la propiedad.</w:t>
      </w:r>
    </w:p>
    <w:p w:rsidR="00A90E0B" w:rsidRDefault="006919D3" w:rsidP="00A90E0B">
      <w:pPr>
        <w:autoSpaceDE w:val="0"/>
        <w:autoSpaceDN w:val="0"/>
        <w:spacing w:line="360" w:lineRule="auto"/>
        <w:jc w:val="both"/>
        <w:rPr>
          <w:sz w:val="20"/>
          <w:lang w:val="es-ES_tradnl"/>
        </w:rPr>
      </w:pPr>
      <w:r>
        <w:rPr>
          <w:sz w:val="20"/>
          <w:lang w:val="es-ES_tradnl"/>
        </w:rPr>
        <w:t>Datos de 2012</w:t>
      </w:r>
    </w:p>
    <w:p w:rsidR="00645CE5" w:rsidRDefault="00645CE5" w:rsidP="00F9519B">
      <w:pPr>
        <w:spacing w:line="360" w:lineRule="auto"/>
        <w:rPr>
          <w:sz w:val="24"/>
          <w:szCs w:val="24"/>
          <w:lang w:val="es-ES_tradnl"/>
        </w:rPr>
      </w:pPr>
    </w:p>
    <w:p w:rsidR="00645CE5" w:rsidRDefault="00645CE5" w:rsidP="00F9519B">
      <w:pPr>
        <w:spacing w:line="360" w:lineRule="auto"/>
        <w:jc w:val="both"/>
        <w:rPr>
          <w:sz w:val="24"/>
          <w:szCs w:val="24"/>
          <w:lang w:val="es-ES_tradnl"/>
        </w:rPr>
      </w:pPr>
      <w:r w:rsidRPr="003959C3">
        <w:rPr>
          <w:sz w:val="24"/>
          <w:szCs w:val="24"/>
          <w:lang w:val="es-ES_tradnl"/>
        </w:rPr>
        <w:t>Al analizar la</w:t>
      </w:r>
      <w:r>
        <w:rPr>
          <w:sz w:val="24"/>
          <w:szCs w:val="24"/>
          <w:lang w:val="es-ES_tradnl"/>
        </w:rPr>
        <w:t xml:space="preserve"> </w:t>
      </w:r>
      <w:r w:rsidR="00D83E62">
        <w:rPr>
          <w:sz w:val="24"/>
          <w:szCs w:val="24"/>
          <w:lang w:val="es-ES_tradnl"/>
        </w:rPr>
        <w:t>distribución</w:t>
      </w:r>
      <w:r>
        <w:rPr>
          <w:sz w:val="24"/>
          <w:szCs w:val="24"/>
          <w:lang w:val="es-ES_tradnl"/>
        </w:rPr>
        <w:t xml:space="preserve"> de los ratios de equidad salarial se observa que la gran mayoría de los centros tienen ratios cercanos al salario medio para las personas con discapacidad</w:t>
      </w:r>
      <w:r w:rsidR="00F9519B">
        <w:rPr>
          <w:sz w:val="24"/>
          <w:szCs w:val="24"/>
          <w:lang w:val="es-ES_tradnl"/>
        </w:rPr>
        <w:t>. Muy pocos registran ratios por debajo del 50% de salario medio y un conjunto significante de centros tiene ratios de equidad salarial muy superiores a la media</w:t>
      </w:r>
      <w:r>
        <w:rPr>
          <w:sz w:val="24"/>
          <w:szCs w:val="24"/>
          <w:lang w:val="es-ES_tradnl"/>
        </w:rPr>
        <w:t>:</w:t>
      </w:r>
      <w:r w:rsidR="00D83E62">
        <w:rPr>
          <w:sz w:val="24"/>
          <w:szCs w:val="24"/>
          <w:lang w:val="es-ES_tradnl"/>
        </w:rPr>
        <w:t xml:space="preserve"> </w:t>
      </w:r>
    </w:p>
    <w:p w:rsidR="00F9519B" w:rsidRDefault="00F9519B" w:rsidP="00F9519B">
      <w:pPr>
        <w:spacing w:line="360" w:lineRule="auto"/>
        <w:jc w:val="both"/>
        <w:rPr>
          <w:sz w:val="24"/>
          <w:szCs w:val="24"/>
          <w:lang w:val="es-ES_tradnl"/>
        </w:rPr>
      </w:pPr>
    </w:p>
    <w:p w:rsidR="00645CE5" w:rsidRPr="00645CE5" w:rsidRDefault="003D0B8A" w:rsidP="00645CE5">
      <w:pPr>
        <w:autoSpaceDE w:val="0"/>
        <w:autoSpaceDN w:val="0"/>
        <w:spacing w:line="360" w:lineRule="auto"/>
        <w:jc w:val="center"/>
        <w:rPr>
          <w:sz w:val="24"/>
          <w:szCs w:val="24"/>
          <w:lang w:val="es-ES_tradnl"/>
        </w:rPr>
      </w:pPr>
      <w:r>
        <w:rPr>
          <w:noProof/>
          <w:lang w:eastAsia="es-ES"/>
        </w:rPr>
        <w:drawing>
          <wp:inline distT="0" distB="0" distL="0" distR="0">
            <wp:extent cx="4391025" cy="24860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45CE5" w:rsidRPr="00BE20A7" w:rsidRDefault="00645CE5" w:rsidP="00645CE5">
      <w:pPr>
        <w:autoSpaceDE w:val="0"/>
        <w:autoSpaceDN w:val="0"/>
        <w:spacing w:line="360" w:lineRule="auto"/>
        <w:jc w:val="both"/>
        <w:rPr>
          <w:sz w:val="20"/>
        </w:rPr>
      </w:pPr>
      <w:r w:rsidRPr="00BE20A7">
        <w:rPr>
          <w:sz w:val="20"/>
        </w:rPr>
        <w:t>Fuente: Elaboración propia</w:t>
      </w:r>
    </w:p>
    <w:p w:rsidR="00645CE5" w:rsidRDefault="00645CE5" w:rsidP="003D0B8A">
      <w:pPr>
        <w:spacing w:line="360" w:lineRule="auto"/>
        <w:jc w:val="both"/>
        <w:rPr>
          <w:sz w:val="20"/>
        </w:rPr>
      </w:pPr>
      <w:r>
        <w:rPr>
          <w:sz w:val="20"/>
        </w:rPr>
        <w:t xml:space="preserve">Nota </w:t>
      </w:r>
      <w:r w:rsidRPr="00BE20A7">
        <w:rPr>
          <w:sz w:val="20"/>
        </w:rPr>
        <w:t xml:space="preserve">explicativa de la gráfica: Eje vertical, </w:t>
      </w:r>
      <w:r>
        <w:rPr>
          <w:sz w:val="20"/>
        </w:rPr>
        <w:t>número de centros</w:t>
      </w:r>
      <w:r w:rsidRPr="00BE20A7">
        <w:rPr>
          <w:sz w:val="20"/>
        </w:rPr>
        <w:t xml:space="preserve">. Eje horizontal, </w:t>
      </w:r>
      <w:r>
        <w:rPr>
          <w:sz w:val="20"/>
        </w:rPr>
        <w:t xml:space="preserve">rangos de </w:t>
      </w:r>
      <w:r w:rsidR="00D83E62">
        <w:rPr>
          <w:sz w:val="20"/>
        </w:rPr>
        <w:t xml:space="preserve">equidad </w:t>
      </w:r>
      <w:r>
        <w:rPr>
          <w:sz w:val="20"/>
        </w:rPr>
        <w:t>s</w:t>
      </w:r>
      <w:r w:rsidR="00D83E62">
        <w:rPr>
          <w:sz w:val="20"/>
        </w:rPr>
        <w:t>alarial</w:t>
      </w:r>
      <w:r>
        <w:rPr>
          <w:sz w:val="20"/>
        </w:rPr>
        <w:t>.</w:t>
      </w:r>
    </w:p>
    <w:p w:rsidR="003D0B8A" w:rsidRDefault="003D0B8A" w:rsidP="003D0B8A">
      <w:pPr>
        <w:pBdr>
          <w:bottom w:val="single" w:sz="4" w:space="1" w:color="auto"/>
        </w:pBdr>
        <w:spacing w:line="360" w:lineRule="auto"/>
        <w:jc w:val="both"/>
        <w:rPr>
          <w:sz w:val="20"/>
        </w:rPr>
      </w:pPr>
      <w:r>
        <w:rPr>
          <w:sz w:val="20"/>
        </w:rPr>
        <w:t xml:space="preserve">* </w:t>
      </w:r>
      <w:r w:rsidRPr="003D0B8A">
        <w:rPr>
          <w:sz w:val="20"/>
        </w:rPr>
        <w:t>Se excluyen del gráfico los centros con ratios de equidad salarial superior a 8 por considerarse anómalos.</w:t>
      </w:r>
    </w:p>
    <w:p w:rsidR="003D0B8A" w:rsidRPr="00446110" w:rsidRDefault="003D0B8A" w:rsidP="003D0B8A">
      <w:pPr>
        <w:spacing w:line="360" w:lineRule="auto"/>
        <w:jc w:val="both"/>
        <w:rPr>
          <w:sz w:val="20"/>
        </w:rPr>
      </w:pPr>
      <w:r>
        <w:rPr>
          <w:sz w:val="20"/>
        </w:rPr>
        <w:t>Datos de 2012</w:t>
      </w:r>
    </w:p>
    <w:p w:rsidR="00AF42C4" w:rsidRPr="000701FC" w:rsidRDefault="00AF42C4" w:rsidP="000F7F9B">
      <w:pPr>
        <w:spacing w:before="360" w:line="360" w:lineRule="auto"/>
        <w:rPr>
          <w:sz w:val="20"/>
          <w:lang w:val="es-ES_tradnl"/>
        </w:rPr>
      </w:pPr>
      <w:r w:rsidRPr="00BE20A7">
        <w:rPr>
          <w:sz w:val="24"/>
          <w:szCs w:val="24"/>
          <w:lang w:val="es-ES_tradnl"/>
        </w:rPr>
        <w:t xml:space="preserve">Por otro lado, </w:t>
      </w:r>
      <w:r w:rsidR="007108D2">
        <w:rPr>
          <w:sz w:val="24"/>
          <w:szCs w:val="24"/>
          <w:lang w:val="es-ES_tradnl"/>
        </w:rPr>
        <w:t>examinando</w:t>
      </w:r>
      <w:r w:rsidRPr="00BE20A7">
        <w:rPr>
          <w:sz w:val="24"/>
          <w:szCs w:val="24"/>
          <w:lang w:val="es-ES_tradnl"/>
        </w:rPr>
        <w:t xml:space="preserve"> la relación entre el ratio de equidad salarial y liquidez observamos que los </w:t>
      </w:r>
      <w:r w:rsidR="00A95742">
        <w:rPr>
          <w:sz w:val="24"/>
          <w:szCs w:val="24"/>
          <w:lang w:val="es-ES_tradnl"/>
        </w:rPr>
        <w:t>CEEs</w:t>
      </w:r>
      <w:r w:rsidRPr="00BE20A7">
        <w:rPr>
          <w:sz w:val="24"/>
          <w:szCs w:val="24"/>
          <w:lang w:val="es-ES_tradnl"/>
        </w:rPr>
        <w:t xml:space="preserve"> con mejores resultados </w:t>
      </w:r>
      <w:r w:rsidR="007108D2">
        <w:rPr>
          <w:sz w:val="24"/>
          <w:szCs w:val="24"/>
          <w:lang w:val="es-ES_tradnl"/>
        </w:rPr>
        <w:t>en este ámbito</w:t>
      </w:r>
      <w:r w:rsidRPr="00BE20A7">
        <w:rPr>
          <w:sz w:val="24"/>
          <w:szCs w:val="24"/>
          <w:lang w:val="es-ES_tradnl"/>
        </w:rPr>
        <w:t xml:space="preserve"> también son los más líquidos. Esta relación pone de manifiesto la importancia de la robustez financiera de los </w:t>
      </w:r>
      <w:r w:rsidR="00A95742">
        <w:rPr>
          <w:sz w:val="24"/>
          <w:szCs w:val="24"/>
          <w:lang w:val="es-ES_tradnl"/>
        </w:rPr>
        <w:t>CEEs</w:t>
      </w:r>
      <w:r w:rsidRPr="00BE20A7">
        <w:rPr>
          <w:sz w:val="24"/>
          <w:szCs w:val="24"/>
          <w:lang w:val="es-ES_tradnl"/>
        </w:rPr>
        <w:t xml:space="preserve"> para </w:t>
      </w:r>
      <w:r>
        <w:rPr>
          <w:sz w:val="24"/>
          <w:szCs w:val="24"/>
          <w:lang w:val="es-ES_tradnl"/>
        </w:rPr>
        <w:t xml:space="preserve">poder asegurar la </w:t>
      </w:r>
      <w:r w:rsidR="007108D2">
        <w:rPr>
          <w:sz w:val="24"/>
          <w:szCs w:val="24"/>
          <w:lang w:val="es-ES_tradnl"/>
        </w:rPr>
        <w:t>convergencia salarial</w:t>
      </w:r>
      <w:r>
        <w:rPr>
          <w:sz w:val="24"/>
          <w:szCs w:val="24"/>
          <w:lang w:val="es-ES_tradnl"/>
        </w:rPr>
        <w:t xml:space="preserve"> de las personas con discapacidad.</w:t>
      </w:r>
      <w:r w:rsidRPr="000701FC">
        <w:rPr>
          <w:sz w:val="20"/>
          <w:lang w:val="es-ES_tradnl"/>
        </w:rPr>
        <w:t xml:space="preserve"> </w:t>
      </w:r>
    </w:p>
    <w:p w:rsidR="00A90E0B" w:rsidRDefault="00DE6AB7" w:rsidP="000701FC">
      <w:pPr>
        <w:spacing w:line="360" w:lineRule="auto"/>
        <w:jc w:val="both"/>
        <w:rPr>
          <w:noProof/>
          <w:sz w:val="20"/>
          <w:lang w:eastAsia="es-ES"/>
        </w:rPr>
      </w:pPr>
      <w:r w:rsidRPr="00DE6AB7">
        <w:rPr>
          <w:noProof/>
          <w:lang w:eastAsia="es-ES"/>
        </w:rPr>
        <w:t xml:space="preserve"> </w:t>
      </w:r>
      <w:r w:rsidR="00F859CA">
        <w:rPr>
          <w:noProof/>
          <w:lang w:eastAsia="es-ES"/>
        </w:rPr>
        <w:drawing>
          <wp:inline distT="0" distB="0" distL="0" distR="0">
            <wp:extent cx="5400675" cy="3324860"/>
            <wp:effectExtent l="0" t="0" r="0" b="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70633" w:rsidRPr="00BE20A7" w:rsidRDefault="00B70633" w:rsidP="00B70633">
      <w:pPr>
        <w:pStyle w:val="Prrafodelista"/>
        <w:spacing w:line="360" w:lineRule="auto"/>
        <w:ind w:left="0"/>
        <w:jc w:val="both"/>
      </w:pPr>
      <w:r w:rsidRPr="00BE20A7">
        <w:rPr>
          <w:sz w:val="20"/>
          <w:lang w:val="es-ES_tradnl"/>
        </w:rPr>
        <w:t>Fuente: Elaboración propia</w:t>
      </w:r>
    </w:p>
    <w:p w:rsidR="00B70633" w:rsidRPr="00BE20A7" w:rsidRDefault="007751C0" w:rsidP="00B70633">
      <w:pPr>
        <w:pStyle w:val="Prrafodelista"/>
        <w:pBdr>
          <w:bottom w:val="single" w:sz="4" w:space="1" w:color="auto"/>
        </w:pBdr>
        <w:spacing w:line="360" w:lineRule="auto"/>
        <w:ind w:left="0"/>
        <w:jc w:val="both"/>
        <w:rPr>
          <w:sz w:val="20"/>
          <w:lang w:val="es-ES_tradnl"/>
        </w:rPr>
      </w:pPr>
      <w:r>
        <w:rPr>
          <w:sz w:val="20"/>
          <w:lang w:val="es-ES_tradnl"/>
        </w:rPr>
        <w:t xml:space="preserve">Nota </w:t>
      </w:r>
      <w:r w:rsidR="00B70633" w:rsidRPr="00BE20A7">
        <w:rPr>
          <w:sz w:val="20"/>
          <w:lang w:val="es-ES_tradnl"/>
        </w:rPr>
        <w:t xml:space="preserve">explicativa de la gráfica: Eje vertical, porcentaje de </w:t>
      </w:r>
      <w:r w:rsidR="00A95742">
        <w:rPr>
          <w:sz w:val="20"/>
          <w:lang w:val="es-ES_tradnl"/>
        </w:rPr>
        <w:t>CEEs</w:t>
      </w:r>
      <w:r w:rsidR="00B70633" w:rsidRPr="00BE20A7">
        <w:rPr>
          <w:sz w:val="20"/>
          <w:lang w:val="es-ES_tradnl"/>
        </w:rPr>
        <w:t xml:space="preserve"> con ratio de liquidez inferior a 1 y porcentaje de </w:t>
      </w:r>
      <w:r w:rsidR="00A95742">
        <w:rPr>
          <w:sz w:val="20"/>
          <w:lang w:val="es-ES_tradnl"/>
        </w:rPr>
        <w:t>CEEs</w:t>
      </w:r>
      <w:r w:rsidR="00B70633" w:rsidRPr="00BE20A7">
        <w:rPr>
          <w:sz w:val="20"/>
          <w:lang w:val="es-ES_tradnl"/>
        </w:rPr>
        <w:t xml:space="preserve"> con ratio de liquidez igual o superior a 1. Eje horizontal, división entre </w:t>
      </w:r>
      <w:r w:rsidR="00A95742">
        <w:rPr>
          <w:sz w:val="20"/>
          <w:lang w:val="es-ES_tradnl"/>
        </w:rPr>
        <w:t>CEEs</w:t>
      </w:r>
      <w:r w:rsidR="00B70633" w:rsidRPr="00BE20A7">
        <w:rPr>
          <w:sz w:val="20"/>
          <w:lang w:val="es-ES_tradnl"/>
        </w:rPr>
        <w:t xml:space="preserve"> con salarios medio por encima o por debajo del salario medio. </w:t>
      </w:r>
    </w:p>
    <w:p w:rsidR="00B70633" w:rsidRPr="00842404" w:rsidRDefault="00DF3E49" w:rsidP="00B70633">
      <w:pPr>
        <w:pStyle w:val="Prrafodelista"/>
        <w:spacing w:line="360" w:lineRule="auto"/>
        <w:ind w:left="0"/>
        <w:rPr>
          <w:sz w:val="18"/>
          <w:szCs w:val="18"/>
          <w:lang w:val="es-ES_tradnl"/>
        </w:rPr>
      </w:pPr>
      <w:r w:rsidRPr="00842404">
        <w:rPr>
          <w:sz w:val="18"/>
          <w:szCs w:val="18"/>
          <w:lang w:val="es-ES_tradnl"/>
        </w:rPr>
        <w:t>Datos de 2012</w:t>
      </w:r>
    </w:p>
    <w:p w:rsidR="00DF3E49" w:rsidRPr="00BE20A7" w:rsidRDefault="00DF3E49" w:rsidP="00B70633">
      <w:pPr>
        <w:pStyle w:val="Prrafodelista"/>
        <w:spacing w:line="360" w:lineRule="auto"/>
        <w:ind w:left="0"/>
        <w:rPr>
          <w:color w:val="1F497D" w:themeColor="text2"/>
          <w:lang w:val="es-ES_tradnl"/>
        </w:rPr>
      </w:pPr>
    </w:p>
    <w:p w:rsidR="00B70633" w:rsidRPr="00BE20A7" w:rsidRDefault="00175E09" w:rsidP="00B70633">
      <w:pPr>
        <w:spacing w:line="360" w:lineRule="auto"/>
        <w:rPr>
          <w:sz w:val="24"/>
          <w:szCs w:val="24"/>
          <w:lang w:val="es-ES_tradnl"/>
        </w:rPr>
      </w:pPr>
      <w:r>
        <w:rPr>
          <w:sz w:val="24"/>
          <w:szCs w:val="24"/>
          <w:lang w:val="es-ES_tradnl"/>
        </w:rPr>
        <w:t>Otra</w:t>
      </w:r>
      <w:r w:rsidR="00B70633" w:rsidRPr="00BE20A7">
        <w:rPr>
          <w:sz w:val="24"/>
          <w:szCs w:val="24"/>
          <w:lang w:val="es-ES_tradnl"/>
        </w:rPr>
        <w:t xml:space="preserve"> relación analizada es la que podría haber entre equidad salarial y años de antigüedad de los </w:t>
      </w:r>
      <w:r w:rsidR="00A95742">
        <w:rPr>
          <w:sz w:val="24"/>
          <w:szCs w:val="24"/>
          <w:lang w:val="es-ES_tradnl"/>
        </w:rPr>
        <w:t>CEEs</w:t>
      </w:r>
      <w:r w:rsidR="00B70633" w:rsidRPr="00BE20A7">
        <w:rPr>
          <w:sz w:val="24"/>
          <w:szCs w:val="24"/>
          <w:lang w:val="es-ES_tradnl"/>
        </w:rPr>
        <w:t xml:space="preserve">. </w:t>
      </w:r>
    </w:p>
    <w:p w:rsidR="00B70633" w:rsidRDefault="003A7D46" w:rsidP="000701FC">
      <w:pPr>
        <w:spacing w:line="360" w:lineRule="auto"/>
        <w:jc w:val="both"/>
        <w:rPr>
          <w:noProof/>
          <w:sz w:val="20"/>
          <w:lang w:eastAsia="es-ES"/>
        </w:rPr>
      </w:pPr>
      <w:r>
        <w:rPr>
          <w:noProof/>
          <w:sz w:val="20"/>
          <w:lang w:eastAsia="es-ES"/>
        </w:rPr>
        <w:drawing>
          <wp:inline distT="0" distB="0" distL="0" distR="0">
            <wp:extent cx="5098211" cy="2907102"/>
            <wp:effectExtent l="0" t="0" r="7620" b="7620"/>
            <wp:docPr id="4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70633" w:rsidRPr="00BE20A7" w:rsidRDefault="00B70633" w:rsidP="00B70633">
      <w:pPr>
        <w:pStyle w:val="Prrafodelista"/>
        <w:spacing w:line="360" w:lineRule="auto"/>
        <w:ind w:left="0"/>
        <w:jc w:val="both"/>
        <w:rPr>
          <w:sz w:val="20"/>
          <w:lang w:val="es-ES_tradnl"/>
        </w:rPr>
      </w:pPr>
      <w:r w:rsidRPr="00BE20A7">
        <w:rPr>
          <w:sz w:val="20"/>
          <w:lang w:val="es-ES_tradnl"/>
        </w:rPr>
        <w:t>Fuente: Elaboración propia</w:t>
      </w:r>
    </w:p>
    <w:p w:rsidR="00B70633" w:rsidRDefault="007751C0" w:rsidP="006919D3">
      <w:pPr>
        <w:pStyle w:val="Prrafodelista"/>
        <w:pBdr>
          <w:bottom w:val="single" w:sz="4" w:space="1" w:color="auto"/>
        </w:pBdr>
        <w:spacing w:line="360" w:lineRule="auto"/>
        <w:ind w:left="0"/>
        <w:jc w:val="both"/>
        <w:rPr>
          <w:sz w:val="20"/>
          <w:lang w:val="es-ES_tradnl"/>
        </w:rPr>
      </w:pPr>
      <w:r>
        <w:rPr>
          <w:sz w:val="20"/>
          <w:lang w:val="es-ES_tradnl"/>
        </w:rPr>
        <w:t xml:space="preserve">Nota </w:t>
      </w:r>
      <w:r w:rsidR="00B70633" w:rsidRPr="00BE20A7">
        <w:rPr>
          <w:sz w:val="20"/>
          <w:lang w:val="es-ES_tradnl"/>
        </w:rPr>
        <w:t xml:space="preserve">explicativa de la gráfica: Eje vertical, años de antigüedad de los </w:t>
      </w:r>
      <w:r w:rsidR="00A95742">
        <w:rPr>
          <w:sz w:val="20"/>
          <w:lang w:val="es-ES_tradnl"/>
        </w:rPr>
        <w:t>CEEs</w:t>
      </w:r>
      <w:r w:rsidR="00B70633" w:rsidRPr="00BE20A7">
        <w:rPr>
          <w:sz w:val="20"/>
          <w:lang w:val="es-ES_tradnl"/>
        </w:rPr>
        <w:t xml:space="preserve"> a fecha de 2013. Eje horizontal, ratio entre el salario medio de los </w:t>
      </w:r>
      <w:r w:rsidR="00A95742">
        <w:rPr>
          <w:sz w:val="20"/>
          <w:lang w:val="es-ES_tradnl"/>
        </w:rPr>
        <w:t>CEEs</w:t>
      </w:r>
      <w:r w:rsidR="00B70633" w:rsidRPr="00BE20A7">
        <w:rPr>
          <w:sz w:val="20"/>
          <w:lang w:val="es-ES_tradnl"/>
        </w:rPr>
        <w:t xml:space="preserve"> y el salario medio nacional para las personas con discapacidad.</w:t>
      </w:r>
    </w:p>
    <w:p w:rsidR="006919D3" w:rsidRPr="00BE20A7" w:rsidRDefault="00730902" w:rsidP="006919D3">
      <w:pPr>
        <w:pStyle w:val="Prrafodelista"/>
        <w:spacing w:line="360" w:lineRule="auto"/>
        <w:ind w:left="0"/>
        <w:jc w:val="both"/>
        <w:rPr>
          <w:sz w:val="20"/>
          <w:lang w:val="es-ES_tradnl"/>
        </w:rPr>
      </w:pPr>
      <w:r>
        <w:rPr>
          <w:sz w:val="20"/>
          <w:lang w:val="es-ES_tradnl"/>
        </w:rPr>
        <w:t xml:space="preserve">Datos de 2012 y </w:t>
      </w:r>
      <w:r w:rsidR="006919D3">
        <w:rPr>
          <w:sz w:val="20"/>
          <w:lang w:val="es-ES_tradnl"/>
        </w:rPr>
        <w:t>2013</w:t>
      </w:r>
    </w:p>
    <w:p w:rsidR="00DF3E49" w:rsidRDefault="00DF3E49" w:rsidP="00B70633">
      <w:pPr>
        <w:pStyle w:val="Prrafodelista"/>
        <w:spacing w:line="360" w:lineRule="auto"/>
        <w:ind w:left="0"/>
        <w:jc w:val="both"/>
        <w:rPr>
          <w:sz w:val="24"/>
          <w:szCs w:val="24"/>
          <w:lang w:val="es-ES_tradnl"/>
        </w:rPr>
      </w:pPr>
    </w:p>
    <w:p w:rsidR="00B70633" w:rsidRPr="00BE20A7" w:rsidRDefault="00B70633" w:rsidP="00B70633">
      <w:pPr>
        <w:pStyle w:val="Prrafodelista"/>
        <w:spacing w:line="360" w:lineRule="auto"/>
        <w:ind w:left="0"/>
        <w:jc w:val="both"/>
        <w:rPr>
          <w:lang w:val="es-ES_tradnl"/>
        </w:rPr>
      </w:pPr>
      <w:r w:rsidRPr="00BE20A7">
        <w:rPr>
          <w:sz w:val="24"/>
          <w:szCs w:val="24"/>
          <w:lang w:val="es-ES_tradnl"/>
        </w:rPr>
        <w:t xml:space="preserve">Las conclusiones acerca de la equidad salarial cambian si tomamos el valor de Instituto Nacional de Estadística, 20.000€, como salario medio de las personas con discapacidad. </w:t>
      </w:r>
      <w:r w:rsidR="00175E09">
        <w:rPr>
          <w:sz w:val="24"/>
          <w:szCs w:val="24"/>
          <w:lang w:val="es-ES_tradnl"/>
        </w:rPr>
        <w:t>Tomando este dato</w:t>
      </w:r>
      <w:r w:rsidRPr="00BE20A7">
        <w:rPr>
          <w:sz w:val="24"/>
          <w:szCs w:val="24"/>
          <w:lang w:val="es-ES_tradnl"/>
        </w:rPr>
        <w:t xml:space="preserve">, los salarios medios de los </w:t>
      </w:r>
      <w:r w:rsidR="00A95742">
        <w:rPr>
          <w:sz w:val="24"/>
          <w:szCs w:val="24"/>
          <w:lang w:val="es-ES_tradnl"/>
        </w:rPr>
        <w:t>CEEs</w:t>
      </w:r>
      <w:r w:rsidRPr="00BE20A7">
        <w:rPr>
          <w:sz w:val="24"/>
          <w:szCs w:val="24"/>
          <w:lang w:val="es-ES_tradnl"/>
        </w:rPr>
        <w:t xml:space="preserve"> quedarían, de media, ligeramente por debajo del salario medio nacional para las personas con discapacidad</w:t>
      </w:r>
      <w:r>
        <w:rPr>
          <w:sz w:val="24"/>
          <w:szCs w:val="24"/>
          <w:lang w:val="es-ES_tradnl"/>
        </w:rPr>
        <w:t>, en 0,85.</w:t>
      </w:r>
    </w:p>
    <w:p w:rsidR="00B70633" w:rsidRDefault="00A21E89" w:rsidP="00B70633">
      <w:pPr>
        <w:spacing w:before="360" w:line="360" w:lineRule="auto"/>
        <w:jc w:val="both"/>
        <w:rPr>
          <w:sz w:val="24"/>
          <w:szCs w:val="24"/>
          <w:lang w:val="es-ES_tradnl"/>
        </w:rPr>
      </w:pPr>
      <w:r w:rsidRPr="00A21E89">
        <w:rPr>
          <w:noProof/>
          <w:lang w:eastAsia="es-ES"/>
        </w:rPr>
        <w:t xml:space="preserve"> </w:t>
      </w:r>
      <w:r w:rsidR="00E91E79">
        <w:rPr>
          <w:noProof/>
          <w:lang w:eastAsia="es-ES"/>
        </w:rPr>
        <w:drawing>
          <wp:inline distT="0" distB="0" distL="0" distR="0">
            <wp:extent cx="4446588" cy="2513013"/>
            <wp:effectExtent l="0" t="0" r="11430" b="1905"/>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70633" w:rsidRPr="00BE20A7" w:rsidRDefault="00B70633" w:rsidP="00B70633">
      <w:pPr>
        <w:pStyle w:val="Prrafodelista"/>
        <w:spacing w:before="360" w:line="360" w:lineRule="auto"/>
        <w:ind w:left="0"/>
        <w:rPr>
          <w:sz w:val="20"/>
          <w:lang w:val="es-ES_tradnl"/>
        </w:rPr>
      </w:pPr>
      <w:r w:rsidRPr="00BE20A7">
        <w:rPr>
          <w:sz w:val="20"/>
          <w:lang w:val="es-ES_tradnl"/>
        </w:rPr>
        <w:t>Fuente: Elaboración Propia</w:t>
      </w:r>
    </w:p>
    <w:p w:rsidR="00B70633" w:rsidRPr="00BE20A7" w:rsidRDefault="007751C0" w:rsidP="00B70633">
      <w:pPr>
        <w:pStyle w:val="Prrafodelista"/>
        <w:pBdr>
          <w:bottom w:val="single" w:sz="4" w:space="1" w:color="auto"/>
        </w:pBdr>
        <w:spacing w:before="360" w:line="360" w:lineRule="auto"/>
        <w:ind w:left="0"/>
        <w:rPr>
          <w:sz w:val="20"/>
          <w:lang w:val="es-ES_tradnl"/>
        </w:rPr>
      </w:pPr>
      <w:r>
        <w:rPr>
          <w:sz w:val="20"/>
          <w:lang w:val="es-ES_tradnl"/>
        </w:rPr>
        <w:t xml:space="preserve">Nota </w:t>
      </w:r>
      <w:r w:rsidR="00B70633" w:rsidRPr="00BE20A7">
        <w:rPr>
          <w:sz w:val="20"/>
          <w:lang w:val="es-ES_tradnl"/>
        </w:rPr>
        <w:t xml:space="preserve">explicativa de la gráfica: Eje vertical: ratio entre el salario medio de los </w:t>
      </w:r>
      <w:r w:rsidR="00A95742">
        <w:rPr>
          <w:sz w:val="20"/>
          <w:lang w:val="es-ES_tradnl"/>
        </w:rPr>
        <w:t>CEEs</w:t>
      </w:r>
      <w:r w:rsidR="00B70633" w:rsidRPr="00BE20A7">
        <w:rPr>
          <w:sz w:val="20"/>
          <w:lang w:val="es-ES_tradnl"/>
        </w:rPr>
        <w:t xml:space="preserve"> y el salario medio nacional para las personas con discapacidad. Eje horizontal: estructura de la propiedad</w:t>
      </w:r>
    </w:p>
    <w:p w:rsidR="00B70633" w:rsidRPr="00842404" w:rsidRDefault="00DF3E49" w:rsidP="00B70633">
      <w:pPr>
        <w:pStyle w:val="Prrafodelista"/>
        <w:spacing w:before="360" w:line="360" w:lineRule="auto"/>
        <w:ind w:left="0"/>
        <w:rPr>
          <w:sz w:val="18"/>
          <w:szCs w:val="18"/>
          <w:lang w:val="es-ES_tradnl"/>
        </w:rPr>
      </w:pPr>
      <w:r w:rsidRPr="00842404">
        <w:rPr>
          <w:sz w:val="18"/>
          <w:szCs w:val="18"/>
          <w:lang w:val="es-ES_tradnl"/>
        </w:rPr>
        <w:t>Datos de 2012</w:t>
      </w:r>
    </w:p>
    <w:p w:rsidR="00B70633" w:rsidRPr="0092445E" w:rsidRDefault="003A7D46" w:rsidP="0092445E">
      <w:pPr>
        <w:spacing w:before="360" w:line="360" w:lineRule="auto"/>
        <w:jc w:val="both"/>
        <w:rPr>
          <w:sz w:val="24"/>
          <w:szCs w:val="24"/>
          <w:lang w:val="es-ES_tradnl"/>
        </w:rPr>
      </w:pPr>
      <w:r>
        <w:rPr>
          <w:noProof/>
          <w:sz w:val="24"/>
          <w:szCs w:val="24"/>
          <w:lang w:eastAsia="es-ES"/>
        </w:rPr>
        <w:drawing>
          <wp:inline distT="0" distB="0" distL="0" distR="0">
            <wp:extent cx="5608320" cy="3086100"/>
            <wp:effectExtent l="0" t="0" r="0" b="0"/>
            <wp:docPr id="4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B70633" w:rsidRPr="00BE20A7">
        <w:rPr>
          <w:sz w:val="20"/>
          <w:lang w:val="es-ES_tradnl"/>
        </w:rPr>
        <w:t xml:space="preserve">Fuente: Elaboración propia </w:t>
      </w:r>
    </w:p>
    <w:p w:rsidR="00B70633" w:rsidRDefault="007751C0" w:rsidP="00B70633">
      <w:pPr>
        <w:pStyle w:val="Prrafodelista"/>
        <w:pBdr>
          <w:bottom w:val="single" w:sz="4" w:space="1" w:color="auto"/>
        </w:pBdr>
        <w:spacing w:line="360" w:lineRule="auto"/>
        <w:ind w:left="0"/>
        <w:rPr>
          <w:sz w:val="20"/>
          <w:lang w:val="es-ES_tradnl"/>
        </w:rPr>
      </w:pPr>
      <w:r>
        <w:rPr>
          <w:sz w:val="20"/>
          <w:lang w:val="es-ES_tradnl"/>
        </w:rPr>
        <w:t xml:space="preserve">Nota </w:t>
      </w:r>
      <w:r w:rsidR="00B70633" w:rsidRPr="00BE20A7">
        <w:rPr>
          <w:sz w:val="20"/>
          <w:lang w:val="es-ES_tradnl"/>
        </w:rPr>
        <w:t xml:space="preserve">explicativa de la gráfica: Eje vertical, años de antigüedad de los </w:t>
      </w:r>
      <w:r w:rsidR="00A95742">
        <w:rPr>
          <w:sz w:val="20"/>
          <w:lang w:val="es-ES_tradnl"/>
        </w:rPr>
        <w:t>CEEs</w:t>
      </w:r>
      <w:r w:rsidR="00B70633" w:rsidRPr="00BE20A7">
        <w:rPr>
          <w:sz w:val="20"/>
          <w:lang w:val="es-ES_tradnl"/>
        </w:rPr>
        <w:t xml:space="preserve"> a fecha de 2013. Eje horizontal, ratio entre el salario medio de los </w:t>
      </w:r>
      <w:r w:rsidR="00A95742">
        <w:rPr>
          <w:sz w:val="20"/>
          <w:lang w:val="es-ES_tradnl"/>
        </w:rPr>
        <w:t>CEEs</w:t>
      </w:r>
      <w:r w:rsidR="00B70633" w:rsidRPr="00BE20A7">
        <w:rPr>
          <w:sz w:val="20"/>
          <w:lang w:val="es-ES_tradnl"/>
        </w:rPr>
        <w:t xml:space="preserve"> y el salario medio nacional para las personas con discapacidad.</w:t>
      </w:r>
    </w:p>
    <w:p w:rsidR="00730902" w:rsidRPr="00BE20A7" w:rsidRDefault="00730902" w:rsidP="00730902">
      <w:pPr>
        <w:autoSpaceDE w:val="0"/>
        <w:autoSpaceDN w:val="0"/>
        <w:spacing w:line="360" w:lineRule="auto"/>
        <w:jc w:val="both"/>
        <w:rPr>
          <w:sz w:val="20"/>
          <w:lang w:val="es-ES_tradnl"/>
        </w:rPr>
      </w:pPr>
      <w:r>
        <w:rPr>
          <w:sz w:val="20"/>
          <w:lang w:val="es-ES_tradnl"/>
        </w:rPr>
        <w:t>Datos de 2012 y 2013</w:t>
      </w:r>
    </w:p>
    <w:p w:rsidR="00B70633" w:rsidRPr="00BE20A7" w:rsidRDefault="00B70633" w:rsidP="00281AE8">
      <w:pPr>
        <w:pStyle w:val="Ttulo3"/>
        <w:rPr>
          <w:lang w:val="es-ES_tradnl"/>
        </w:rPr>
      </w:pPr>
      <w:bookmarkStart w:id="234" w:name="_Toc410916879"/>
      <w:r w:rsidRPr="00BE20A7">
        <w:rPr>
          <w:lang w:val="es-ES_tradnl"/>
        </w:rPr>
        <w:t>Empleo de las personas con discapacidad</w:t>
      </w:r>
      <w:bookmarkEnd w:id="234"/>
    </w:p>
    <w:p w:rsidR="00B70633" w:rsidRPr="00BE20A7" w:rsidRDefault="00B70633" w:rsidP="00B70633">
      <w:pPr>
        <w:pStyle w:val="Prrafodelista"/>
        <w:spacing w:line="360" w:lineRule="auto"/>
        <w:ind w:left="0"/>
        <w:jc w:val="both"/>
        <w:rPr>
          <w:lang w:val="es-ES_tradnl"/>
        </w:rPr>
      </w:pPr>
    </w:p>
    <w:p w:rsidR="00B70633" w:rsidRPr="00BE20A7" w:rsidRDefault="00B70633" w:rsidP="00B70633">
      <w:pPr>
        <w:spacing w:line="360" w:lineRule="auto"/>
        <w:jc w:val="both"/>
        <w:rPr>
          <w:sz w:val="24"/>
          <w:szCs w:val="24"/>
          <w:lang w:val="es-ES_tradnl"/>
        </w:rPr>
      </w:pPr>
      <w:r w:rsidRPr="00BE20A7">
        <w:rPr>
          <w:sz w:val="24"/>
          <w:szCs w:val="24"/>
          <w:lang w:val="es-ES_tradnl"/>
        </w:rPr>
        <w:t xml:space="preserve">El indicador del empleo de las personas con discapacidad es probablemente unos de los más relevantes de todo el análisis ya que recoge la información sobre la principal misión para la que fueron creados: la de proporcionar oportunidades laborales a las personas con discapacidad. </w:t>
      </w:r>
    </w:p>
    <w:p w:rsidR="00B70633" w:rsidRPr="00BE20A7" w:rsidRDefault="00B70633" w:rsidP="00B70633">
      <w:pPr>
        <w:spacing w:line="360" w:lineRule="auto"/>
        <w:jc w:val="both"/>
        <w:rPr>
          <w:sz w:val="24"/>
          <w:szCs w:val="24"/>
          <w:lang w:val="es-ES_tradnl"/>
        </w:rPr>
      </w:pPr>
    </w:p>
    <w:p w:rsidR="00326166" w:rsidRPr="00BE20A7" w:rsidRDefault="00B70633" w:rsidP="00326166">
      <w:pPr>
        <w:spacing w:line="360" w:lineRule="auto"/>
        <w:jc w:val="both"/>
        <w:rPr>
          <w:sz w:val="24"/>
          <w:szCs w:val="24"/>
          <w:lang w:val="es-ES_tradnl"/>
        </w:rPr>
      </w:pPr>
      <w:r>
        <w:rPr>
          <w:sz w:val="24"/>
          <w:szCs w:val="24"/>
          <w:lang w:val="es-ES_tradnl"/>
        </w:rPr>
        <w:t xml:space="preserve">El número medio de personas con discapacidad empleadas en los </w:t>
      </w:r>
      <w:r w:rsidR="00175E09">
        <w:rPr>
          <w:sz w:val="24"/>
          <w:szCs w:val="24"/>
          <w:lang w:val="es-ES_tradnl"/>
        </w:rPr>
        <w:t xml:space="preserve">centros </w:t>
      </w:r>
      <w:r>
        <w:rPr>
          <w:sz w:val="24"/>
          <w:szCs w:val="24"/>
          <w:lang w:val="es-ES_tradnl"/>
        </w:rPr>
        <w:t xml:space="preserve">de </w:t>
      </w:r>
      <w:r w:rsidR="00326166">
        <w:rPr>
          <w:sz w:val="24"/>
          <w:szCs w:val="24"/>
          <w:lang w:val="es-ES_tradnl"/>
        </w:rPr>
        <w:t xml:space="preserve">Castilla y León se sitúa en 24. </w:t>
      </w:r>
      <w:r w:rsidR="00326166" w:rsidRPr="00BE20A7">
        <w:rPr>
          <w:sz w:val="24"/>
          <w:szCs w:val="24"/>
          <w:lang w:val="es-ES_tradnl"/>
        </w:rPr>
        <w:t xml:space="preserve">Los </w:t>
      </w:r>
      <w:r w:rsidR="00326166">
        <w:rPr>
          <w:sz w:val="24"/>
          <w:szCs w:val="24"/>
          <w:lang w:val="es-ES_tradnl"/>
        </w:rPr>
        <w:t>CEEs</w:t>
      </w:r>
      <w:r w:rsidR="00326166" w:rsidRPr="00BE20A7">
        <w:rPr>
          <w:sz w:val="24"/>
          <w:szCs w:val="24"/>
          <w:lang w:val="es-ES_tradnl"/>
        </w:rPr>
        <w:t xml:space="preserve"> de iniciativa social emplean, de media, </w:t>
      </w:r>
      <w:r w:rsidR="00326166">
        <w:rPr>
          <w:sz w:val="24"/>
          <w:szCs w:val="24"/>
          <w:lang w:val="es-ES_tradnl"/>
        </w:rPr>
        <w:t>a 44 personas con discapacidad, casi 30 más que</w:t>
      </w:r>
      <w:r w:rsidR="00326166" w:rsidRPr="00BE20A7">
        <w:rPr>
          <w:sz w:val="24"/>
          <w:szCs w:val="24"/>
          <w:lang w:val="es-ES_tradnl"/>
        </w:rPr>
        <w:t xml:space="preserve"> los de </w:t>
      </w:r>
      <w:r w:rsidR="00326166">
        <w:rPr>
          <w:sz w:val="24"/>
          <w:szCs w:val="24"/>
          <w:lang w:val="es-ES_tradnl"/>
        </w:rPr>
        <w:t>iniciativa empresarial, los cuales emplean, de media a 15 personas con discapacidad.</w:t>
      </w:r>
      <w:r w:rsidR="00326166" w:rsidRPr="00BE20A7">
        <w:rPr>
          <w:sz w:val="24"/>
          <w:szCs w:val="24"/>
          <w:lang w:val="es-ES_tradnl"/>
        </w:rPr>
        <w:t xml:space="preserve"> </w:t>
      </w:r>
    </w:p>
    <w:p w:rsidR="00326166" w:rsidRPr="00BE20A7" w:rsidRDefault="00326166" w:rsidP="00326166">
      <w:pPr>
        <w:pBdr>
          <w:bottom w:val="single" w:sz="4" w:space="1" w:color="auto"/>
        </w:pBdr>
        <w:spacing w:line="360" w:lineRule="auto"/>
        <w:rPr>
          <w:sz w:val="24"/>
          <w:szCs w:val="24"/>
          <w:lang w:val="es-ES_tradnl"/>
        </w:rPr>
      </w:pPr>
    </w:p>
    <w:p w:rsidR="00326166" w:rsidRPr="00BE20A7" w:rsidRDefault="00326166" w:rsidP="00326166">
      <w:pPr>
        <w:pStyle w:val="Prrafodelista"/>
        <w:spacing w:before="360" w:line="360" w:lineRule="auto"/>
        <w:ind w:left="284"/>
        <w:rPr>
          <w:sz w:val="20"/>
          <w:lang w:val="es-ES_tradnl"/>
        </w:rPr>
      </w:pPr>
      <w:r w:rsidRPr="001E1143">
        <w:rPr>
          <w:noProof/>
          <w:lang w:eastAsia="es-ES"/>
        </w:rPr>
        <w:t xml:space="preserve"> </w:t>
      </w:r>
      <w:r>
        <w:rPr>
          <w:noProof/>
          <w:lang w:eastAsia="es-ES"/>
        </w:rPr>
        <w:drawing>
          <wp:inline distT="0" distB="0" distL="0" distR="0">
            <wp:extent cx="4305300" cy="2371725"/>
            <wp:effectExtent l="0" t="0" r="0" b="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26166" w:rsidRPr="00BE20A7" w:rsidRDefault="00326166" w:rsidP="00326166">
      <w:pPr>
        <w:pStyle w:val="Prrafodelista"/>
        <w:spacing w:before="360" w:line="360" w:lineRule="auto"/>
        <w:ind w:left="0"/>
        <w:rPr>
          <w:lang w:val="es-ES_tradnl"/>
        </w:rPr>
      </w:pPr>
      <w:r w:rsidRPr="00BE20A7">
        <w:rPr>
          <w:sz w:val="20"/>
          <w:lang w:val="es-ES_tradnl"/>
        </w:rPr>
        <w:t>Fuente: elaboración propia a partir de información analizada</w:t>
      </w:r>
    </w:p>
    <w:p w:rsidR="00326166" w:rsidRDefault="00326166" w:rsidP="00326166">
      <w:pPr>
        <w:pStyle w:val="Prrafodelista"/>
        <w:pBdr>
          <w:bottom w:val="single" w:sz="4" w:space="1" w:color="auto"/>
        </w:pBdr>
        <w:spacing w:before="360" w:line="360" w:lineRule="auto"/>
        <w:ind w:left="0"/>
        <w:rPr>
          <w:sz w:val="20"/>
          <w:lang w:val="es-ES_tradnl"/>
        </w:rPr>
      </w:pPr>
      <w:r>
        <w:rPr>
          <w:sz w:val="20"/>
          <w:lang w:val="es-ES_tradnl"/>
        </w:rPr>
        <w:t xml:space="preserve">Nota </w:t>
      </w:r>
      <w:r w:rsidRPr="00BE20A7">
        <w:rPr>
          <w:sz w:val="20"/>
          <w:lang w:val="es-ES_tradnl"/>
        </w:rPr>
        <w:t>explicativa de la gráfica: Eje vertical: número medio de empleados con discapacidad por centro. Eje horizontal: estructura de la propiedad.</w:t>
      </w:r>
    </w:p>
    <w:p w:rsidR="00326166" w:rsidRDefault="00326166" w:rsidP="00326166">
      <w:pPr>
        <w:autoSpaceDE w:val="0"/>
        <w:autoSpaceDN w:val="0"/>
        <w:spacing w:line="360" w:lineRule="auto"/>
        <w:jc w:val="both"/>
        <w:rPr>
          <w:sz w:val="20"/>
          <w:lang w:val="es-ES_tradnl"/>
        </w:rPr>
      </w:pPr>
      <w:r>
        <w:rPr>
          <w:sz w:val="20"/>
          <w:lang w:val="es-ES_tradnl"/>
        </w:rPr>
        <w:t>Datos de 2013</w:t>
      </w:r>
    </w:p>
    <w:p w:rsidR="00326166" w:rsidRPr="00783DD8" w:rsidRDefault="00326166" w:rsidP="00326166">
      <w:pPr>
        <w:spacing w:line="360" w:lineRule="auto"/>
        <w:rPr>
          <w:lang w:val="es-ES_tradnl"/>
        </w:rPr>
      </w:pPr>
    </w:p>
    <w:p w:rsidR="00326166" w:rsidRDefault="00326166" w:rsidP="00326166">
      <w:pPr>
        <w:spacing w:line="360" w:lineRule="auto"/>
        <w:jc w:val="both"/>
        <w:rPr>
          <w:sz w:val="24"/>
          <w:szCs w:val="24"/>
          <w:lang w:val="es-ES_tradnl"/>
        </w:rPr>
      </w:pPr>
      <w:r w:rsidRPr="003959C3">
        <w:rPr>
          <w:sz w:val="24"/>
          <w:szCs w:val="24"/>
          <w:lang w:val="es-ES_tradnl"/>
        </w:rPr>
        <w:t>Al analizar la</w:t>
      </w:r>
      <w:r>
        <w:rPr>
          <w:sz w:val="24"/>
          <w:szCs w:val="24"/>
          <w:lang w:val="es-ES_tradnl"/>
        </w:rPr>
        <w:t xml:space="preserve"> distribución del número de personas con discapacidad empleadas en los CEEs se observa </w:t>
      </w:r>
      <w:r w:rsidR="007E210B">
        <w:rPr>
          <w:sz w:val="24"/>
          <w:szCs w:val="24"/>
          <w:lang w:val="es-ES_tradnl"/>
        </w:rPr>
        <w:t>que un porcentaje</w:t>
      </w:r>
      <w:r>
        <w:rPr>
          <w:sz w:val="24"/>
          <w:szCs w:val="24"/>
          <w:lang w:val="es-ES_tradnl"/>
        </w:rPr>
        <w:t xml:space="preserve"> significativo de los centros emplea a menos de 5 personas con discapacidad, como consecuencia del pequeño tamaño de muchos de los centros.</w:t>
      </w:r>
    </w:p>
    <w:p w:rsidR="00326166" w:rsidRPr="00645CE5" w:rsidRDefault="00326166" w:rsidP="00326166">
      <w:pPr>
        <w:autoSpaceDE w:val="0"/>
        <w:autoSpaceDN w:val="0"/>
        <w:spacing w:line="360" w:lineRule="auto"/>
        <w:jc w:val="center"/>
        <w:rPr>
          <w:sz w:val="24"/>
          <w:szCs w:val="24"/>
          <w:lang w:val="es-ES_tradnl"/>
        </w:rPr>
      </w:pPr>
      <w:r>
        <w:rPr>
          <w:noProof/>
          <w:lang w:eastAsia="es-ES"/>
        </w:rPr>
        <w:drawing>
          <wp:inline distT="0" distB="0" distL="0" distR="0">
            <wp:extent cx="4191000" cy="26289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26166" w:rsidRPr="00BE20A7" w:rsidRDefault="00326166" w:rsidP="00326166">
      <w:pPr>
        <w:autoSpaceDE w:val="0"/>
        <w:autoSpaceDN w:val="0"/>
        <w:spacing w:line="360" w:lineRule="auto"/>
        <w:jc w:val="both"/>
        <w:rPr>
          <w:sz w:val="20"/>
        </w:rPr>
      </w:pPr>
      <w:r w:rsidRPr="00BE20A7">
        <w:rPr>
          <w:sz w:val="20"/>
        </w:rPr>
        <w:t>Fuente: Elaboración propia</w:t>
      </w:r>
    </w:p>
    <w:p w:rsidR="00326166" w:rsidRDefault="00326166" w:rsidP="00326166">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w:t>
      </w:r>
      <w:r w:rsidRPr="00BE20A7">
        <w:rPr>
          <w:sz w:val="20"/>
        </w:rPr>
        <w:t xml:space="preserve">. Eje horizontal, </w:t>
      </w:r>
      <w:r>
        <w:rPr>
          <w:sz w:val="20"/>
        </w:rPr>
        <w:t>rangos de número de personas con discapacidad empleadas.</w:t>
      </w:r>
    </w:p>
    <w:p w:rsidR="00326166" w:rsidRPr="00446110" w:rsidRDefault="00326166" w:rsidP="00326166">
      <w:pPr>
        <w:spacing w:line="360" w:lineRule="auto"/>
        <w:jc w:val="both"/>
        <w:rPr>
          <w:sz w:val="20"/>
        </w:rPr>
      </w:pPr>
      <w:r>
        <w:rPr>
          <w:sz w:val="20"/>
        </w:rPr>
        <w:t>Datos de 2013</w:t>
      </w:r>
    </w:p>
    <w:p w:rsidR="00326166" w:rsidRDefault="00326166" w:rsidP="003807B4">
      <w:pPr>
        <w:pBdr>
          <w:bottom w:val="single" w:sz="4" w:space="1" w:color="auto"/>
        </w:pBdr>
        <w:spacing w:line="360" w:lineRule="auto"/>
        <w:jc w:val="both"/>
        <w:rPr>
          <w:sz w:val="24"/>
          <w:szCs w:val="24"/>
          <w:lang w:val="es-ES_tradnl"/>
        </w:rPr>
      </w:pPr>
    </w:p>
    <w:p w:rsidR="00920986" w:rsidRDefault="007E210B" w:rsidP="003807B4">
      <w:pPr>
        <w:pBdr>
          <w:bottom w:val="single" w:sz="4" w:space="1" w:color="auto"/>
        </w:pBdr>
        <w:spacing w:line="360" w:lineRule="auto"/>
        <w:jc w:val="both"/>
        <w:rPr>
          <w:sz w:val="24"/>
          <w:szCs w:val="24"/>
          <w:lang w:val="es-ES_tradnl"/>
        </w:rPr>
      </w:pPr>
      <w:r>
        <w:rPr>
          <w:sz w:val="24"/>
          <w:szCs w:val="24"/>
          <w:lang w:val="es-ES_tradnl"/>
        </w:rPr>
        <w:t>Sin embargo, a</w:t>
      </w:r>
      <w:r w:rsidR="00326166">
        <w:rPr>
          <w:sz w:val="24"/>
          <w:szCs w:val="24"/>
          <w:lang w:val="es-ES_tradnl"/>
        </w:rPr>
        <w:t xml:space="preserve"> pesar del pequeño tamaño de </w:t>
      </w:r>
      <w:r w:rsidR="006C7A8A">
        <w:rPr>
          <w:sz w:val="24"/>
          <w:szCs w:val="24"/>
          <w:lang w:val="es-ES_tradnl"/>
        </w:rPr>
        <w:t>muchos de los</w:t>
      </w:r>
      <w:r>
        <w:rPr>
          <w:sz w:val="24"/>
          <w:szCs w:val="24"/>
          <w:lang w:val="es-ES_tradnl"/>
        </w:rPr>
        <w:t xml:space="preserve"> centros, </w:t>
      </w:r>
      <w:r w:rsidR="003807B4">
        <w:rPr>
          <w:sz w:val="24"/>
          <w:szCs w:val="24"/>
          <w:lang w:val="es-ES_tradnl"/>
        </w:rPr>
        <w:t>el tamañ</w:t>
      </w:r>
      <w:r w:rsidR="008127D5">
        <w:rPr>
          <w:sz w:val="24"/>
          <w:szCs w:val="24"/>
          <w:lang w:val="es-ES_tradnl"/>
        </w:rPr>
        <w:t xml:space="preserve">o medio de los </w:t>
      </w:r>
      <w:r>
        <w:rPr>
          <w:sz w:val="24"/>
          <w:szCs w:val="24"/>
          <w:lang w:val="es-ES_tradnl"/>
        </w:rPr>
        <w:t>CEEs</w:t>
      </w:r>
      <w:r w:rsidR="008127D5">
        <w:rPr>
          <w:sz w:val="24"/>
          <w:szCs w:val="24"/>
          <w:lang w:val="es-ES_tradnl"/>
        </w:rPr>
        <w:t xml:space="preserve"> es de 27</w:t>
      </w:r>
      <w:r w:rsidR="003F21F7">
        <w:rPr>
          <w:sz w:val="24"/>
          <w:szCs w:val="24"/>
          <w:lang w:val="es-ES_tradnl"/>
        </w:rPr>
        <w:t xml:space="preserve"> empleados. Además, existe </w:t>
      </w:r>
      <w:r w:rsidR="00A254B2">
        <w:rPr>
          <w:sz w:val="24"/>
          <w:szCs w:val="24"/>
          <w:lang w:val="es-ES_tradnl"/>
        </w:rPr>
        <w:t xml:space="preserve">un menor porcentaje de microempresas en el sector de los CEEs de Castilla y León que en el </w:t>
      </w:r>
      <w:r>
        <w:rPr>
          <w:sz w:val="24"/>
          <w:szCs w:val="24"/>
          <w:lang w:val="es-ES_tradnl"/>
        </w:rPr>
        <w:t>conjunto de empresas de Castilla y León. Mientras que u</w:t>
      </w:r>
      <w:r w:rsidR="006A6771">
        <w:rPr>
          <w:sz w:val="24"/>
          <w:szCs w:val="24"/>
          <w:lang w:val="es-ES_tradnl"/>
        </w:rPr>
        <w:t xml:space="preserve">n 57% de los CEEs tienen menos de 10 empleados, </w:t>
      </w:r>
      <w:r w:rsidR="00295E77">
        <w:rPr>
          <w:sz w:val="24"/>
          <w:szCs w:val="24"/>
          <w:lang w:val="es-ES_tradnl"/>
        </w:rPr>
        <w:t xml:space="preserve">un 95,95% </w:t>
      </w:r>
      <w:r>
        <w:rPr>
          <w:sz w:val="24"/>
          <w:szCs w:val="24"/>
          <w:lang w:val="es-ES_tradnl"/>
        </w:rPr>
        <w:t>de las empresas en Castilla y León son microempresas de</w:t>
      </w:r>
      <w:r w:rsidR="00295E77">
        <w:rPr>
          <w:sz w:val="24"/>
          <w:szCs w:val="24"/>
          <w:lang w:val="es-ES_tradnl"/>
        </w:rPr>
        <w:t xml:space="preserve"> entre 0 y 9</w:t>
      </w:r>
      <w:r w:rsidR="00175E09">
        <w:rPr>
          <w:sz w:val="24"/>
          <w:szCs w:val="24"/>
          <w:lang w:val="es-ES_tradnl"/>
        </w:rPr>
        <w:t xml:space="preserve"> empleados</w:t>
      </w:r>
      <w:r w:rsidR="00295E77">
        <w:rPr>
          <w:sz w:val="24"/>
          <w:szCs w:val="24"/>
          <w:lang w:val="es-ES_tradnl"/>
        </w:rPr>
        <w:t>.</w:t>
      </w:r>
    </w:p>
    <w:p w:rsidR="007E210B" w:rsidRDefault="007E210B" w:rsidP="003807B4">
      <w:pPr>
        <w:pBdr>
          <w:bottom w:val="single" w:sz="4" w:space="1" w:color="auto"/>
        </w:pBdr>
        <w:spacing w:line="360" w:lineRule="auto"/>
        <w:jc w:val="both"/>
        <w:rPr>
          <w:sz w:val="24"/>
          <w:szCs w:val="24"/>
          <w:lang w:val="es-ES_tradnl"/>
        </w:rPr>
      </w:pPr>
    </w:p>
    <w:p w:rsidR="003807B4" w:rsidRDefault="003807B4" w:rsidP="003807B4">
      <w:pPr>
        <w:spacing w:line="360" w:lineRule="auto"/>
        <w:jc w:val="both"/>
        <w:rPr>
          <w:sz w:val="24"/>
          <w:szCs w:val="24"/>
          <w:lang w:val="es-ES_tradnl"/>
        </w:rPr>
      </w:pPr>
    </w:p>
    <w:p w:rsidR="007E210B" w:rsidRDefault="007E210B" w:rsidP="003807B4">
      <w:pPr>
        <w:spacing w:line="360" w:lineRule="auto"/>
        <w:jc w:val="both"/>
        <w:rPr>
          <w:sz w:val="24"/>
          <w:szCs w:val="24"/>
          <w:lang w:val="es-ES_tradnl"/>
        </w:rPr>
      </w:pPr>
    </w:p>
    <w:p w:rsidR="007E210B" w:rsidRDefault="007E210B" w:rsidP="003807B4">
      <w:pPr>
        <w:spacing w:line="360" w:lineRule="auto"/>
        <w:jc w:val="both"/>
        <w:rPr>
          <w:sz w:val="24"/>
          <w:szCs w:val="24"/>
          <w:lang w:val="es-ES_tradnl"/>
        </w:rPr>
      </w:pPr>
    </w:p>
    <w:p w:rsidR="007E210B" w:rsidRDefault="007E210B" w:rsidP="003807B4">
      <w:pPr>
        <w:spacing w:line="360" w:lineRule="auto"/>
        <w:jc w:val="both"/>
        <w:rPr>
          <w:sz w:val="24"/>
          <w:szCs w:val="24"/>
          <w:lang w:val="es-ES_tradnl"/>
        </w:rPr>
      </w:pPr>
    </w:p>
    <w:p w:rsidR="003807B4" w:rsidRDefault="003807B4" w:rsidP="003807B4">
      <w:pPr>
        <w:spacing w:line="360" w:lineRule="auto"/>
        <w:jc w:val="both"/>
        <w:rPr>
          <w:sz w:val="24"/>
          <w:szCs w:val="24"/>
          <w:lang w:val="es-ES_tradnl"/>
        </w:rPr>
      </w:pPr>
      <w:r>
        <w:rPr>
          <w:sz w:val="24"/>
          <w:szCs w:val="24"/>
          <w:lang w:val="es-ES_tradnl"/>
        </w:rPr>
        <w:t>Distribución del tamaño de los CEEs:</w:t>
      </w:r>
    </w:p>
    <w:p w:rsidR="003807B4" w:rsidRDefault="003807B4" w:rsidP="003807B4">
      <w:pPr>
        <w:spacing w:line="360" w:lineRule="auto"/>
        <w:jc w:val="both"/>
        <w:rPr>
          <w:sz w:val="24"/>
          <w:szCs w:val="24"/>
          <w:lang w:val="es-ES_tradnl"/>
        </w:rPr>
      </w:pPr>
    </w:p>
    <w:p w:rsidR="003807B4" w:rsidRPr="00645CE5" w:rsidRDefault="003807B4" w:rsidP="003807B4">
      <w:pPr>
        <w:autoSpaceDE w:val="0"/>
        <w:autoSpaceDN w:val="0"/>
        <w:spacing w:line="360" w:lineRule="auto"/>
        <w:jc w:val="center"/>
        <w:rPr>
          <w:sz w:val="24"/>
          <w:szCs w:val="24"/>
          <w:lang w:val="es-ES_tradnl"/>
        </w:rPr>
      </w:pPr>
      <w:r>
        <w:rPr>
          <w:noProof/>
          <w:lang w:eastAsia="es-ES"/>
        </w:rPr>
        <w:drawing>
          <wp:inline distT="0" distB="0" distL="0" distR="0">
            <wp:extent cx="4191000" cy="26384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807B4" w:rsidRPr="00BE20A7" w:rsidRDefault="003807B4" w:rsidP="003807B4">
      <w:pPr>
        <w:autoSpaceDE w:val="0"/>
        <w:autoSpaceDN w:val="0"/>
        <w:spacing w:line="360" w:lineRule="auto"/>
        <w:jc w:val="both"/>
        <w:rPr>
          <w:sz w:val="20"/>
        </w:rPr>
      </w:pPr>
      <w:r w:rsidRPr="00BE20A7">
        <w:rPr>
          <w:sz w:val="20"/>
        </w:rPr>
        <w:t>Fuente: Elaboración propia</w:t>
      </w:r>
    </w:p>
    <w:p w:rsidR="003807B4" w:rsidRDefault="003807B4" w:rsidP="006919D3">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w:t>
      </w:r>
      <w:r w:rsidRPr="00BE20A7">
        <w:rPr>
          <w:sz w:val="20"/>
        </w:rPr>
        <w:t xml:space="preserve">. Eje horizontal, </w:t>
      </w:r>
      <w:r>
        <w:rPr>
          <w:sz w:val="20"/>
        </w:rPr>
        <w:t>rangos de número de personas empleadas.</w:t>
      </w:r>
    </w:p>
    <w:p w:rsidR="006919D3" w:rsidRPr="008127D5" w:rsidRDefault="006919D3" w:rsidP="006919D3">
      <w:pPr>
        <w:spacing w:line="360" w:lineRule="auto"/>
        <w:jc w:val="both"/>
        <w:rPr>
          <w:sz w:val="20"/>
        </w:rPr>
      </w:pPr>
      <w:r>
        <w:rPr>
          <w:sz w:val="20"/>
        </w:rPr>
        <w:t>Datos de 2013</w:t>
      </w:r>
    </w:p>
    <w:p w:rsidR="00295E77" w:rsidRDefault="00295E77" w:rsidP="00B70633">
      <w:pPr>
        <w:spacing w:line="360" w:lineRule="auto"/>
        <w:jc w:val="both"/>
        <w:rPr>
          <w:sz w:val="24"/>
          <w:szCs w:val="24"/>
          <w:lang w:val="es-ES_tradnl"/>
        </w:rPr>
      </w:pPr>
    </w:p>
    <w:p w:rsidR="008127D5" w:rsidRDefault="00296DE8" w:rsidP="00B70633">
      <w:pPr>
        <w:spacing w:line="360" w:lineRule="auto"/>
        <w:jc w:val="both"/>
        <w:rPr>
          <w:sz w:val="24"/>
          <w:szCs w:val="24"/>
          <w:lang w:val="es-ES_tradnl"/>
        </w:rPr>
      </w:pPr>
      <w:r>
        <w:rPr>
          <w:sz w:val="24"/>
          <w:szCs w:val="24"/>
          <w:lang w:val="es-ES_tradnl"/>
        </w:rPr>
        <w:t>Poniendo la atención sobre el número de personas con y sin discapacidad empleadas por los centros, se observa que u</w:t>
      </w:r>
      <w:r w:rsidR="008127D5" w:rsidRPr="00BE20A7">
        <w:rPr>
          <w:sz w:val="24"/>
          <w:szCs w:val="24"/>
          <w:lang w:val="es-ES_tradnl"/>
        </w:rPr>
        <w:t xml:space="preserve">n 82% de los </w:t>
      </w:r>
      <w:r w:rsidR="008127D5">
        <w:rPr>
          <w:sz w:val="24"/>
          <w:szCs w:val="24"/>
          <w:lang w:val="es-ES_tradnl"/>
        </w:rPr>
        <w:t>CEEs</w:t>
      </w:r>
      <w:r w:rsidR="008127D5" w:rsidRPr="00BE20A7">
        <w:rPr>
          <w:sz w:val="24"/>
          <w:szCs w:val="24"/>
          <w:lang w:val="es-ES_tradnl"/>
        </w:rPr>
        <w:t xml:space="preserve"> </w:t>
      </w:r>
      <w:r w:rsidR="008127D5">
        <w:rPr>
          <w:sz w:val="24"/>
          <w:szCs w:val="24"/>
          <w:lang w:val="es-ES_tradnl"/>
        </w:rPr>
        <w:t>tienen</w:t>
      </w:r>
      <w:r w:rsidR="008127D5" w:rsidRPr="00BE20A7">
        <w:rPr>
          <w:sz w:val="24"/>
          <w:szCs w:val="24"/>
          <w:lang w:val="es-ES_tradnl"/>
        </w:rPr>
        <w:t xml:space="preserve"> un ratio de personas con discapacidad superior al </w:t>
      </w:r>
      <w:r w:rsidR="008127D5">
        <w:rPr>
          <w:sz w:val="24"/>
          <w:szCs w:val="24"/>
          <w:lang w:val="es-ES_tradnl"/>
        </w:rPr>
        <w:t>80%</w:t>
      </w:r>
      <w:r w:rsidR="008127D5" w:rsidRPr="00BE20A7">
        <w:rPr>
          <w:sz w:val="24"/>
          <w:szCs w:val="24"/>
          <w:lang w:val="es-ES_tradnl"/>
        </w:rPr>
        <w:t xml:space="preserve"> sobre el total de personas empleadas por el centro</w:t>
      </w:r>
      <w:r w:rsidR="008127D5">
        <w:rPr>
          <w:sz w:val="24"/>
          <w:szCs w:val="24"/>
          <w:lang w:val="es-ES_tradnl"/>
        </w:rPr>
        <w:t>, superior al 70% exigible legalmente</w:t>
      </w:r>
      <w:r w:rsidR="008127D5" w:rsidRPr="00BE20A7">
        <w:rPr>
          <w:sz w:val="24"/>
          <w:szCs w:val="24"/>
          <w:lang w:val="es-ES_tradnl"/>
        </w:rPr>
        <w:t xml:space="preserve">. </w:t>
      </w:r>
      <w:r w:rsidR="008127D5">
        <w:rPr>
          <w:sz w:val="24"/>
          <w:szCs w:val="24"/>
          <w:lang w:val="es-ES_tradnl"/>
        </w:rPr>
        <w:t>E</w:t>
      </w:r>
      <w:r w:rsidR="008127D5" w:rsidRPr="00BE20A7">
        <w:rPr>
          <w:sz w:val="24"/>
          <w:szCs w:val="24"/>
          <w:lang w:val="es-ES_tradnl"/>
        </w:rPr>
        <w:t>l ratio medio de</w:t>
      </w:r>
      <w:r w:rsidR="008127D5">
        <w:rPr>
          <w:sz w:val="24"/>
          <w:szCs w:val="24"/>
          <w:lang w:val="es-ES_tradnl"/>
        </w:rPr>
        <w:t xml:space="preserve"> personas</w:t>
      </w:r>
      <w:r w:rsidR="008127D5" w:rsidRPr="00BE20A7">
        <w:rPr>
          <w:sz w:val="24"/>
          <w:szCs w:val="24"/>
          <w:lang w:val="es-ES_tradnl"/>
        </w:rPr>
        <w:t xml:space="preserve"> con discapacidad sobre empleados totales del centro </w:t>
      </w:r>
      <w:r w:rsidR="008127D5">
        <w:rPr>
          <w:sz w:val="24"/>
          <w:szCs w:val="24"/>
          <w:lang w:val="es-ES_tradnl"/>
        </w:rPr>
        <w:t xml:space="preserve">se sitúa en el 91%. </w:t>
      </w:r>
    </w:p>
    <w:p w:rsidR="00163CD7" w:rsidRDefault="0062391D" w:rsidP="00783DD8">
      <w:pPr>
        <w:spacing w:line="360" w:lineRule="auto"/>
        <w:jc w:val="center"/>
        <w:rPr>
          <w:sz w:val="20"/>
          <w:lang w:val="es-ES_tradnl"/>
        </w:rPr>
      </w:pPr>
      <w:r>
        <w:rPr>
          <w:noProof/>
          <w:lang w:eastAsia="es-ES"/>
        </w:rPr>
        <w:drawing>
          <wp:inline distT="0" distB="0" distL="0" distR="0">
            <wp:extent cx="4495800" cy="2143125"/>
            <wp:effectExtent l="0" t="0" r="0" b="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3CD7" w:rsidRDefault="001E5F8A" w:rsidP="00163CD7">
      <w:pPr>
        <w:spacing w:line="360" w:lineRule="auto"/>
        <w:jc w:val="both"/>
        <w:rPr>
          <w:sz w:val="20"/>
          <w:lang w:val="es-ES_tradnl"/>
        </w:rPr>
      </w:pPr>
      <w:r w:rsidRPr="00BE20A7">
        <w:rPr>
          <w:sz w:val="20"/>
          <w:lang w:val="es-ES_tradnl"/>
        </w:rPr>
        <w:t>Fuente: elaboración propia.</w:t>
      </w:r>
    </w:p>
    <w:p w:rsidR="001E5F8A" w:rsidRDefault="007751C0" w:rsidP="00163CD7">
      <w:pPr>
        <w:pBdr>
          <w:bottom w:val="single" w:sz="4" w:space="1" w:color="auto"/>
        </w:pBdr>
        <w:spacing w:line="360" w:lineRule="auto"/>
        <w:jc w:val="both"/>
        <w:rPr>
          <w:sz w:val="20"/>
          <w:lang w:val="es-ES_tradnl"/>
        </w:rPr>
      </w:pPr>
      <w:r>
        <w:rPr>
          <w:sz w:val="20"/>
          <w:lang w:val="es-ES_tradnl"/>
        </w:rPr>
        <w:t xml:space="preserve">Nota </w:t>
      </w:r>
      <w:r w:rsidR="001E5F8A" w:rsidRPr="00BE20A7">
        <w:rPr>
          <w:sz w:val="20"/>
          <w:lang w:val="es-ES_tradnl"/>
        </w:rPr>
        <w:t xml:space="preserve">explicativa de la gráfica: Eje vertical: ratio entre el número de empleados con discapacidad y el número total de empleados de los </w:t>
      </w:r>
      <w:r w:rsidR="00A95742">
        <w:rPr>
          <w:sz w:val="20"/>
          <w:lang w:val="es-ES_tradnl"/>
        </w:rPr>
        <w:t>CEEs</w:t>
      </w:r>
      <w:r w:rsidR="001E5F8A" w:rsidRPr="00BE20A7">
        <w:rPr>
          <w:sz w:val="20"/>
          <w:lang w:val="es-ES_tradnl"/>
        </w:rPr>
        <w:t>. Eje horizontal: estructura de la propiedad.</w:t>
      </w:r>
    </w:p>
    <w:p w:rsidR="00730902" w:rsidRDefault="00730902" w:rsidP="00730902">
      <w:pPr>
        <w:autoSpaceDE w:val="0"/>
        <w:autoSpaceDN w:val="0"/>
        <w:spacing w:line="360" w:lineRule="auto"/>
        <w:jc w:val="both"/>
        <w:rPr>
          <w:sz w:val="20"/>
          <w:lang w:val="es-ES_tradnl"/>
        </w:rPr>
      </w:pPr>
      <w:r>
        <w:rPr>
          <w:sz w:val="20"/>
          <w:lang w:val="es-ES_tradnl"/>
        </w:rPr>
        <w:t>Datos de 2013</w:t>
      </w:r>
    </w:p>
    <w:p w:rsidR="00783DD8" w:rsidRPr="00730902" w:rsidRDefault="00783DD8" w:rsidP="00730902">
      <w:pPr>
        <w:autoSpaceDE w:val="0"/>
        <w:autoSpaceDN w:val="0"/>
        <w:spacing w:line="360" w:lineRule="auto"/>
        <w:jc w:val="both"/>
        <w:rPr>
          <w:sz w:val="20"/>
          <w:lang w:val="es-ES_tradnl"/>
        </w:rPr>
      </w:pPr>
    </w:p>
    <w:p w:rsidR="000F7F9B" w:rsidRDefault="000F7F9B" w:rsidP="000F7F9B">
      <w:pPr>
        <w:spacing w:line="360" w:lineRule="auto"/>
        <w:jc w:val="both"/>
        <w:rPr>
          <w:sz w:val="24"/>
          <w:szCs w:val="24"/>
          <w:lang w:val="es-ES_tradnl"/>
        </w:rPr>
      </w:pPr>
      <w:r w:rsidRPr="003959C3">
        <w:rPr>
          <w:sz w:val="24"/>
          <w:szCs w:val="24"/>
          <w:lang w:val="es-ES_tradnl"/>
        </w:rPr>
        <w:t>Al analizar la</w:t>
      </w:r>
      <w:r w:rsidR="0050322E">
        <w:rPr>
          <w:sz w:val="24"/>
          <w:szCs w:val="24"/>
          <w:lang w:val="es-ES_tradnl"/>
        </w:rPr>
        <w:t xml:space="preserve"> distribución</w:t>
      </w:r>
      <w:r>
        <w:rPr>
          <w:sz w:val="24"/>
          <w:szCs w:val="24"/>
          <w:lang w:val="es-ES_tradnl"/>
        </w:rPr>
        <w:t xml:space="preserve"> de los ratios de empleo de personas con discapacidad sobre el número total de empleados se observa que la inmensa mayoría de los centros tienen ratios muy superiores al 70% requerido por la ley. Muy pocos registran ratios por debajo del 70% y, para un conjunto muy significante de centros, prácticamente la totalidad de sus plantillas están compuestas por personas con discapacidad.</w:t>
      </w:r>
    </w:p>
    <w:p w:rsidR="000F7F9B" w:rsidRPr="00645CE5" w:rsidRDefault="0050322E" w:rsidP="000F7F9B">
      <w:pPr>
        <w:autoSpaceDE w:val="0"/>
        <w:autoSpaceDN w:val="0"/>
        <w:spacing w:line="360" w:lineRule="auto"/>
        <w:jc w:val="center"/>
        <w:rPr>
          <w:sz w:val="24"/>
          <w:szCs w:val="24"/>
          <w:lang w:val="es-ES_tradnl"/>
        </w:rPr>
      </w:pPr>
      <w:r>
        <w:rPr>
          <w:noProof/>
          <w:lang w:eastAsia="es-ES"/>
        </w:rPr>
        <w:drawing>
          <wp:inline distT="0" distB="0" distL="0" distR="0">
            <wp:extent cx="4324350" cy="267652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F7F9B" w:rsidRPr="00BE20A7" w:rsidRDefault="000F7F9B" w:rsidP="000F7F9B">
      <w:pPr>
        <w:autoSpaceDE w:val="0"/>
        <w:autoSpaceDN w:val="0"/>
        <w:spacing w:line="360" w:lineRule="auto"/>
        <w:jc w:val="both"/>
        <w:rPr>
          <w:sz w:val="20"/>
        </w:rPr>
      </w:pPr>
      <w:r w:rsidRPr="00BE20A7">
        <w:rPr>
          <w:sz w:val="20"/>
        </w:rPr>
        <w:t>Fuente: Elaboración propia</w:t>
      </w:r>
    </w:p>
    <w:p w:rsidR="000F7F9B" w:rsidRDefault="000F7F9B" w:rsidP="000F7F9B">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w:t>
      </w:r>
      <w:r w:rsidRPr="00BE20A7">
        <w:rPr>
          <w:sz w:val="20"/>
        </w:rPr>
        <w:t xml:space="preserve">. Eje horizontal, </w:t>
      </w:r>
      <w:r>
        <w:rPr>
          <w:sz w:val="20"/>
        </w:rPr>
        <w:t xml:space="preserve">rangos de </w:t>
      </w:r>
      <w:r w:rsidR="00937365">
        <w:rPr>
          <w:sz w:val="20"/>
        </w:rPr>
        <w:t>ratios de personas con discapacidad sobre empleados totales</w:t>
      </w:r>
      <w:r w:rsidR="005867D3">
        <w:rPr>
          <w:sz w:val="20"/>
        </w:rPr>
        <w:t xml:space="preserve">: </w:t>
      </w:r>
      <w:r w:rsidR="007E735F">
        <w:rPr>
          <w:sz w:val="20"/>
        </w:rPr>
        <w:t>centros en los que el ratio es inferior al 0,7 (7), centros en los que el ratio está entre el 0,7 y el 0,75 (11), centros en los que el ratio está entre el 0,75 y el 0,8 (11), centros en los que el ratio está entre el 0,8 y el 0,85 (13), centros en los que el ratio está entre el 0,85 y el 0,9 (24), centros en los que el ratio está entre el 0,9 y el 0,95 (20), centros en los que el ratio es superior al 0,95 (79).</w:t>
      </w:r>
    </w:p>
    <w:p w:rsidR="00730902" w:rsidRPr="00730902" w:rsidRDefault="00730902" w:rsidP="00730902">
      <w:pPr>
        <w:autoSpaceDE w:val="0"/>
        <w:autoSpaceDN w:val="0"/>
        <w:spacing w:line="360" w:lineRule="auto"/>
        <w:jc w:val="both"/>
        <w:rPr>
          <w:sz w:val="20"/>
          <w:lang w:val="es-ES_tradnl"/>
        </w:rPr>
      </w:pPr>
      <w:r>
        <w:rPr>
          <w:sz w:val="20"/>
          <w:lang w:val="es-ES_tradnl"/>
        </w:rPr>
        <w:t>Datos de 2013</w:t>
      </w:r>
    </w:p>
    <w:p w:rsidR="000F7F9B" w:rsidRDefault="000F7F9B" w:rsidP="001E5F8A">
      <w:pPr>
        <w:spacing w:line="360" w:lineRule="auto"/>
        <w:jc w:val="both"/>
        <w:rPr>
          <w:sz w:val="24"/>
          <w:szCs w:val="24"/>
          <w:lang w:val="es-ES_tradnl"/>
        </w:rPr>
      </w:pPr>
    </w:p>
    <w:p w:rsidR="00EC0B4D" w:rsidRPr="00BE20A7" w:rsidRDefault="00EC0B4D" w:rsidP="00937365">
      <w:pPr>
        <w:pBdr>
          <w:bottom w:val="single" w:sz="4" w:space="1" w:color="auto"/>
        </w:pBdr>
        <w:spacing w:line="360" w:lineRule="auto"/>
        <w:jc w:val="both"/>
        <w:rPr>
          <w:sz w:val="24"/>
          <w:szCs w:val="24"/>
          <w:lang w:val="es-ES_tradnl"/>
        </w:rPr>
      </w:pPr>
      <w:r w:rsidRPr="00BE20A7">
        <w:rPr>
          <w:sz w:val="24"/>
          <w:szCs w:val="24"/>
          <w:lang w:val="es-ES_tradnl"/>
        </w:rPr>
        <w:t xml:space="preserve">El análisis llevado a cabo ha </w:t>
      </w:r>
      <w:r w:rsidR="00175E09">
        <w:rPr>
          <w:sz w:val="24"/>
          <w:szCs w:val="24"/>
          <w:lang w:val="es-ES_tradnl"/>
        </w:rPr>
        <w:t>permitido analizar</w:t>
      </w:r>
      <w:r w:rsidRPr="00BE20A7">
        <w:rPr>
          <w:sz w:val="24"/>
          <w:szCs w:val="24"/>
          <w:lang w:val="es-ES_tradnl"/>
        </w:rPr>
        <w:t xml:space="preserve"> la relación entre los años de </w:t>
      </w:r>
      <w:r>
        <w:rPr>
          <w:sz w:val="24"/>
          <w:szCs w:val="24"/>
          <w:lang w:val="es-ES_tradnl"/>
        </w:rPr>
        <w:t xml:space="preserve">actividad de los </w:t>
      </w:r>
      <w:r w:rsidR="00175E09">
        <w:rPr>
          <w:sz w:val="24"/>
          <w:szCs w:val="24"/>
          <w:lang w:val="es-ES_tradnl"/>
        </w:rPr>
        <w:t>centros</w:t>
      </w:r>
      <w:r w:rsidRPr="00BE20A7">
        <w:rPr>
          <w:sz w:val="24"/>
          <w:szCs w:val="24"/>
          <w:lang w:val="es-ES_tradnl"/>
        </w:rPr>
        <w:t xml:space="preserve"> y el empleo de personas con discapacidad. Cuantos más años lleva un centro en funcionamiento, mayor es el número total de personas con discapacidad empleadas</w:t>
      </w:r>
      <w:r w:rsidR="00175E09">
        <w:rPr>
          <w:sz w:val="24"/>
          <w:szCs w:val="24"/>
          <w:lang w:val="es-ES_tradnl"/>
        </w:rPr>
        <w:t>.</w:t>
      </w:r>
      <w:r w:rsidRPr="00BE20A7">
        <w:rPr>
          <w:sz w:val="24"/>
          <w:szCs w:val="24"/>
          <w:lang w:val="es-ES_tradnl"/>
        </w:rPr>
        <w:t xml:space="preserve"> Sin embargo, también se ha observado que cuantos más años lleva el centro en funcionamiento menor es la proporción de personas con discapacidad empleadas con respecto a</w:t>
      </w:r>
      <w:r w:rsidR="00840272">
        <w:rPr>
          <w:sz w:val="24"/>
          <w:szCs w:val="24"/>
          <w:lang w:val="es-ES_tradnl"/>
        </w:rPr>
        <w:t>l</w:t>
      </w:r>
      <w:r w:rsidRPr="00BE20A7">
        <w:rPr>
          <w:sz w:val="24"/>
          <w:szCs w:val="24"/>
          <w:lang w:val="es-ES_tradnl"/>
        </w:rPr>
        <w:t xml:space="preserve"> número total de emp</w:t>
      </w:r>
      <w:r w:rsidR="00A17FC6">
        <w:rPr>
          <w:sz w:val="24"/>
          <w:szCs w:val="24"/>
          <w:lang w:val="es-ES_tradnl"/>
        </w:rPr>
        <w:t>leados</w:t>
      </w:r>
      <w:r w:rsidRPr="00BE20A7">
        <w:rPr>
          <w:sz w:val="24"/>
          <w:szCs w:val="24"/>
          <w:lang w:val="es-ES_tradnl"/>
        </w:rPr>
        <w:t xml:space="preserve">. Esta relación supone que, a medida que crecen, </w:t>
      </w:r>
      <w:r w:rsidR="00175E09">
        <w:rPr>
          <w:sz w:val="24"/>
          <w:szCs w:val="24"/>
          <w:lang w:val="es-ES_tradnl"/>
        </w:rPr>
        <w:t xml:space="preserve">los centros </w:t>
      </w:r>
      <w:r w:rsidRPr="00BE20A7">
        <w:rPr>
          <w:sz w:val="24"/>
          <w:szCs w:val="24"/>
          <w:lang w:val="es-ES_tradnl"/>
        </w:rPr>
        <w:t xml:space="preserve">emplean a </w:t>
      </w:r>
      <w:r w:rsidR="00175E09">
        <w:rPr>
          <w:sz w:val="24"/>
          <w:szCs w:val="24"/>
          <w:lang w:val="es-ES_tradnl"/>
        </w:rPr>
        <w:t>un mayor número</w:t>
      </w:r>
      <w:r w:rsidRPr="00BE20A7">
        <w:rPr>
          <w:sz w:val="24"/>
          <w:szCs w:val="24"/>
          <w:lang w:val="es-ES_tradnl"/>
        </w:rPr>
        <w:t xml:space="preserve"> de personas sin discapacidad. Esto puede deberse </w:t>
      </w:r>
      <w:r>
        <w:rPr>
          <w:sz w:val="24"/>
          <w:szCs w:val="24"/>
          <w:lang w:val="es-ES_tradnl"/>
        </w:rPr>
        <w:t xml:space="preserve">a las necesidades de competencias y capacidades que pueden aparecer </w:t>
      </w:r>
      <w:r w:rsidRPr="00BE20A7">
        <w:rPr>
          <w:sz w:val="24"/>
          <w:szCs w:val="24"/>
          <w:lang w:val="es-ES_tradnl"/>
        </w:rPr>
        <w:t xml:space="preserve">a medida que se hace más grande </w:t>
      </w:r>
      <w:r w:rsidR="00840272">
        <w:rPr>
          <w:sz w:val="24"/>
          <w:szCs w:val="24"/>
          <w:lang w:val="es-ES_tradnl"/>
        </w:rPr>
        <w:t>y que</w:t>
      </w:r>
      <w:r w:rsidRPr="00BE20A7">
        <w:rPr>
          <w:sz w:val="24"/>
          <w:szCs w:val="24"/>
          <w:lang w:val="es-ES_tradnl"/>
        </w:rPr>
        <w:t xml:space="preserve"> </w:t>
      </w:r>
      <w:r w:rsidR="00840272">
        <w:rPr>
          <w:sz w:val="24"/>
          <w:szCs w:val="24"/>
          <w:lang w:val="es-ES_tradnl"/>
        </w:rPr>
        <w:t>puede</w:t>
      </w:r>
      <w:r>
        <w:rPr>
          <w:sz w:val="24"/>
          <w:szCs w:val="24"/>
          <w:lang w:val="es-ES_tradnl"/>
        </w:rPr>
        <w:t>n no coincidir con las capacidades y competencias de</w:t>
      </w:r>
      <w:r w:rsidR="00840272">
        <w:rPr>
          <w:sz w:val="24"/>
          <w:szCs w:val="24"/>
          <w:lang w:val="es-ES_tradnl"/>
        </w:rPr>
        <w:t xml:space="preserve"> las personas con discapacidad actualmente empleadas.</w:t>
      </w:r>
      <w:r w:rsidR="00A66DEB">
        <w:rPr>
          <w:sz w:val="24"/>
          <w:szCs w:val="24"/>
          <w:lang w:val="es-ES_tradnl"/>
        </w:rPr>
        <w:t xml:space="preserve"> Otra posible razón es</w:t>
      </w:r>
      <w:r w:rsidR="007934BA">
        <w:rPr>
          <w:sz w:val="24"/>
          <w:szCs w:val="24"/>
          <w:lang w:val="es-ES_tradnl"/>
        </w:rPr>
        <w:t xml:space="preserve"> el aumento de personal de apoyo. En cualquier caso, según van acumulando años de actividad, los </w:t>
      </w:r>
      <w:r w:rsidR="00A95742">
        <w:rPr>
          <w:sz w:val="24"/>
          <w:szCs w:val="24"/>
          <w:lang w:val="es-ES_tradnl"/>
        </w:rPr>
        <w:t>CEEs</w:t>
      </w:r>
      <w:r w:rsidR="00A612D1">
        <w:rPr>
          <w:sz w:val="24"/>
          <w:szCs w:val="24"/>
          <w:lang w:val="es-ES_tradnl"/>
        </w:rPr>
        <w:t xml:space="preserve"> </w:t>
      </w:r>
      <w:r w:rsidR="00A66DEB">
        <w:rPr>
          <w:sz w:val="24"/>
          <w:szCs w:val="24"/>
          <w:lang w:val="es-ES_tradnl"/>
        </w:rPr>
        <w:t>generan mayores tasas de empleo, sea a través de contratos adicionales de personas con discapacidad o de personas sin discapacidad.</w:t>
      </w:r>
    </w:p>
    <w:p w:rsidR="00EC0B4D" w:rsidRPr="00BE20A7" w:rsidRDefault="00EC0B4D" w:rsidP="00EC0B4D">
      <w:pPr>
        <w:pBdr>
          <w:bottom w:val="single" w:sz="4" w:space="1" w:color="auto"/>
        </w:pBdr>
        <w:spacing w:line="360" w:lineRule="auto"/>
        <w:rPr>
          <w:sz w:val="24"/>
          <w:szCs w:val="24"/>
          <w:lang w:val="es-ES_tradnl"/>
        </w:rPr>
      </w:pPr>
    </w:p>
    <w:p w:rsidR="00EC0B4D" w:rsidRPr="00BE20A7" w:rsidRDefault="003A7D46" w:rsidP="00783DD8">
      <w:pPr>
        <w:pStyle w:val="Prrafodelista"/>
        <w:spacing w:before="360" w:line="360" w:lineRule="auto"/>
        <w:ind w:left="0"/>
        <w:jc w:val="center"/>
        <w:rPr>
          <w:lang w:val="es-ES_tradnl"/>
        </w:rPr>
      </w:pPr>
      <w:r>
        <w:rPr>
          <w:noProof/>
          <w:lang w:eastAsia="es-ES"/>
        </w:rPr>
        <w:drawing>
          <wp:inline distT="0" distB="0" distL="0" distR="0">
            <wp:extent cx="4714875" cy="3015615"/>
            <wp:effectExtent l="0" t="0" r="0" b="0"/>
            <wp:docPr id="45"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12C90" w:rsidRDefault="00C12C90" w:rsidP="00EC0B4D">
      <w:pPr>
        <w:pStyle w:val="Prrafodelista"/>
        <w:spacing w:before="360" w:line="360" w:lineRule="auto"/>
        <w:ind w:left="0"/>
        <w:rPr>
          <w:sz w:val="16"/>
          <w:szCs w:val="16"/>
          <w:lang w:val="es-ES_tradnl"/>
        </w:rPr>
      </w:pPr>
    </w:p>
    <w:p w:rsidR="00EC0B4D" w:rsidRPr="00BE20A7" w:rsidRDefault="00EC0B4D" w:rsidP="00EC0B4D">
      <w:pPr>
        <w:pStyle w:val="Prrafodelista"/>
        <w:spacing w:before="360" w:line="360" w:lineRule="auto"/>
        <w:ind w:left="0"/>
        <w:rPr>
          <w:sz w:val="16"/>
          <w:szCs w:val="16"/>
          <w:lang w:val="es-ES_tradnl"/>
        </w:rPr>
      </w:pPr>
      <w:r w:rsidRPr="00BE20A7">
        <w:rPr>
          <w:sz w:val="16"/>
          <w:szCs w:val="16"/>
          <w:lang w:val="es-ES_tradnl"/>
        </w:rPr>
        <w:t xml:space="preserve">* Se excluyen los </w:t>
      </w:r>
      <w:r w:rsidR="00A95742">
        <w:rPr>
          <w:sz w:val="16"/>
          <w:szCs w:val="16"/>
          <w:lang w:val="es-ES_tradnl"/>
        </w:rPr>
        <w:t>CEEs</w:t>
      </w:r>
      <w:r w:rsidRPr="00BE20A7">
        <w:rPr>
          <w:sz w:val="16"/>
          <w:szCs w:val="16"/>
          <w:lang w:val="es-ES_tradnl"/>
        </w:rPr>
        <w:t xml:space="preserve"> con más de 200 empleados en el gráfico para apreciar mejor la relación entre las dos variables</w:t>
      </w:r>
    </w:p>
    <w:p w:rsidR="00EC0B4D" w:rsidRPr="00BE20A7" w:rsidRDefault="00EC0B4D" w:rsidP="00EC0B4D">
      <w:pPr>
        <w:pStyle w:val="Prrafodelista"/>
        <w:spacing w:line="360" w:lineRule="auto"/>
        <w:ind w:left="0"/>
        <w:jc w:val="both"/>
        <w:rPr>
          <w:sz w:val="20"/>
          <w:lang w:val="es-ES_tradnl"/>
        </w:rPr>
      </w:pPr>
      <w:r w:rsidRPr="00BE20A7">
        <w:rPr>
          <w:sz w:val="20"/>
          <w:lang w:val="es-ES_tradnl"/>
        </w:rPr>
        <w:t>Fuente: elaboración propia</w:t>
      </w:r>
    </w:p>
    <w:p w:rsidR="00EC0B4D" w:rsidRDefault="007751C0" w:rsidP="00DA3274">
      <w:pPr>
        <w:pStyle w:val="Prrafodelista"/>
        <w:pBdr>
          <w:bottom w:val="single" w:sz="4" w:space="1" w:color="auto"/>
        </w:pBdr>
        <w:spacing w:line="360" w:lineRule="auto"/>
        <w:ind w:left="0"/>
        <w:jc w:val="both"/>
        <w:rPr>
          <w:sz w:val="20"/>
          <w:lang w:val="es-ES_tradnl"/>
        </w:rPr>
      </w:pPr>
      <w:r>
        <w:rPr>
          <w:sz w:val="20"/>
          <w:lang w:val="es-ES_tradnl"/>
        </w:rPr>
        <w:t xml:space="preserve">Nota </w:t>
      </w:r>
      <w:r w:rsidR="00EC0B4D" w:rsidRPr="00BE20A7">
        <w:rPr>
          <w:sz w:val="20"/>
          <w:lang w:val="es-ES_tradnl"/>
        </w:rPr>
        <w:t xml:space="preserve">explicativa de la gráfica: Eje vertical: número de personas con discapacidad empleadas por los </w:t>
      </w:r>
      <w:r w:rsidR="00A95742">
        <w:rPr>
          <w:sz w:val="20"/>
          <w:lang w:val="es-ES_tradnl"/>
        </w:rPr>
        <w:t>CEEs</w:t>
      </w:r>
      <w:r w:rsidR="00EC0B4D" w:rsidRPr="00BE20A7">
        <w:rPr>
          <w:sz w:val="20"/>
          <w:lang w:val="es-ES_tradnl"/>
        </w:rPr>
        <w:t xml:space="preserve">. Eje horizontal: número de años que los </w:t>
      </w:r>
      <w:r w:rsidR="00A95742">
        <w:rPr>
          <w:sz w:val="20"/>
          <w:lang w:val="es-ES_tradnl"/>
        </w:rPr>
        <w:t>CEEs</w:t>
      </w:r>
      <w:r w:rsidR="00EC0B4D" w:rsidRPr="00BE20A7">
        <w:rPr>
          <w:sz w:val="20"/>
          <w:lang w:val="es-ES_tradnl"/>
        </w:rPr>
        <w:t xml:space="preserve"> llevan en funcionamiento.</w:t>
      </w:r>
    </w:p>
    <w:p w:rsidR="00DA3274" w:rsidRPr="00BE20A7" w:rsidRDefault="00DA3274" w:rsidP="00DA3274">
      <w:pPr>
        <w:pStyle w:val="Prrafodelista"/>
        <w:spacing w:line="360" w:lineRule="auto"/>
        <w:ind w:left="0"/>
        <w:jc w:val="both"/>
        <w:rPr>
          <w:sz w:val="20"/>
          <w:lang w:val="es-ES_tradnl"/>
        </w:rPr>
      </w:pPr>
      <w:r>
        <w:rPr>
          <w:sz w:val="20"/>
          <w:lang w:val="es-ES_tradnl"/>
        </w:rPr>
        <w:t>Datos de 2013</w:t>
      </w:r>
    </w:p>
    <w:p w:rsidR="00EC0B4D" w:rsidRPr="00BE20A7" w:rsidRDefault="003A7D46" w:rsidP="00783DD8">
      <w:pPr>
        <w:pStyle w:val="Prrafodelista"/>
        <w:spacing w:line="360" w:lineRule="auto"/>
        <w:ind w:left="0"/>
        <w:jc w:val="center"/>
        <w:rPr>
          <w:lang w:val="es-ES_tradnl"/>
        </w:rPr>
      </w:pPr>
      <w:r>
        <w:rPr>
          <w:noProof/>
          <w:lang w:eastAsia="es-ES"/>
        </w:rPr>
        <w:drawing>
          <wp:inline distT="0" distB="0" distL="0" distR="0">
            <wp:extent cx="4514850" cy="3162300"/>
            <wp:effectExtent l="0" t="0" r="0" b="0"/>
            <wp:docPr id="46"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C0B4D" w:rsidRPr="00BE20A7" w:rsidRDefault="00EC0B4D" w:rsidP="00EC0B4D">
      <w:pPr>
        <w:pStyle w:val="Prrafodelista"/>
        <w:spacing w:line="360" w:lineRule="auto"/>
        <w:ind w:left="0"/>
        <w:jc w:val="both"/>
        <w:rPr>
          <w:sz w:val="20"/>
          <w:lang w:val="es-ES_tradnl"/>
        </w:rPr>
      </w:pPr>
      <w:r w:rsidRPr="00BE20A7">
        <w:rPr>
          <w:sz w:val="20"/>
          <w:lang w:val="es-ES_tradnl"/>
        </w:rPr>
        <w:t>Fuente: elaboración propia</w:t>
      </w:r>
    </w:p>
    <w:p w:rsidR="00EC0B4D" w:rsidRPr="00BE20A7" w:rsidRDefault="007751C0" w:rsidP="00EC0B4D">
      <w:pPr>
        <w:pStyle w:val="Prrafodelista"/>
        <w:pBdr>
          <w:bottom w:val="single" w:sz="4" w:space="1" w:color="auto"/>
        </w:pBdr>
        <w:spacing w:line="360" w:lineRule="auto"/>
        <w:ind w:left="0"/>
        <w:jc w:val="both"/>
        <w:rPr>
          <w:sz w:val="20"/>
          <w:lang w:val="es-ES_tradnl"/>
        </w:rPr>
      </w:pPr>
      <w:r>
        <w:rPr>
          <w:sz w:val="20"/>
          <w:lang w:val="es-ES_tradnl"/>
        </w:rPr>
        <w:t xml:space="preserve">Nota </w:t>
      </w:r>
      <w:r w:rsidR="00EC0B4D" w:rsidRPr="00BE20A7">
        <w:rPr>
          <w:sz w:val="20"/>
          <w:lang w:val="es-ES_tradnl"/>
        </w:rPr>
        <w:t xml:space="preserve">explicativa de la gráfica: Eje vertical: ratio entre empleados con discapacidad y número total de empleados de los </w:t>
      </w:r>
      <w:r w:rsidR="00A95742">
        <w:rPr>
          <w:sz w:val="20"/>
          <w:lang w:val="es-ES_tradnl"/>
        </w:rPr>
        <w:t>CEEs</w:t>
      </w:r>
      <w:r w:rsidR="00EC0B4D" w:rsidRPr="00BE20A7">
        <w:rPr>
          <w:sz w:val="20"/>
          <w:lang w:val="es-ES_tradnl"/>
        </w:rPr>
        <w:t xml:space="preserve">. Eje horizontal: número de años que los </w:t>
      </w:r>
      <w:r w:rsidR="00A95742">
        <w:rPr>
          <w:sz w:val="20"/>
          <w:lang w:val="es-ES_tradnl"/>
        </w:rPr>
        <w:t>CEEs</w:t>
      </w:r>
      <w:r w:rsidR="00EC0B4D" w:rsidRPr="00BE20A7">
        <w:rPr>
          <w:sz w:val="20"/>
          <w:lang w:val="es-ES_tradnl"/>
        </w:rPr>
        <w:t xml:space="preserve"> llevan en funcionamiento.</w:t>
      </w:r>
    </w:p>
    <w:p w:rsidR="00EC0B4D" w:rsidRPr="00842404" w:rsidRDefault="009F5156" w:rsidP="00EC0B4D">
      <w:pPr>
        <w:pStyle w:val="Prrafodelista"/>
        <w:spacing w:line="360" w:lineRule="auto"/>
        <w:ind w:left="0"/>
        <w:rPr>
          <w:sz w:val="18"/>
          <w:szCs w:val="18"/>
          <w:lang w:val="es-ES_tradnl"/>
        </w:rPr>
      </w:pPr>
      <w:r w:rsidRPr="00842404">
        <w:rPr>
          <w:sz w:val="18"/>
          <w:szCs w:val="18"/>
          <w:lang w:val="es-ES_tradnl"/>
        </w:rPr>
        <w:t>Datos de 2013</w:t>
      </w:r>
    </w:p>
    <w:p w:rsidR="009F5156" w:rsidRPr="00BE20A7" w:rsidRDefault="009F5156" w:rsidP="00EC0B4D">
      <w:pPr>
        <w:pStyle w:val="Prrafodelista"/>
        <w:spacing w:line="360" w:lineRule="auto"/>
        <w:ind w:left="0"/>
        <w:rPr>
          <w:sz w:val="20"/>
          <w:lang w:val="es-ES_tradnl"/>
        </w:rPr>
      </w:pPr>
    </w:p>
    <w:p w:rsidR="0092445E" w:rsidRDefault="0092445E" w:rsidP="0092445E">
      <w:pPr>
        <w:spacing w:line="360" w:lineRule="auto"/>
        <w:jc w:val="both"/>
        <w:rPr>
          <w:sz w:val="24"/>
          <w:szCs w:val="24"/>
          <w:lang w:val="es-ES_tradnl"/>
        </w:rPr>
      </w:pPr>
      <w:r>
        <w:rPr>
          <w:sz w:val="24"/>
          <w:szCs w:val="24"/>
          <w:lang w:val="es-ES_tradnl"/>
        </w:rPr>
        <w:t>Distribución del número de</w:t>
      </w:r>
      <w:r w:rsidR="00783DD8">
        <w:rPr>
          <w:sz w:val="24"/>
          <w:szCs w:val="24"/>
          <w:lang w:val="es-ES_tradnl"/>
        </w:rPr>
        <w:t xml:space="preserve"> años de actividad de los CEEs:</w:t>
      </w:r>
    </w:p>
    <w:p w:rsidR="0092445E" w:rsidRPr="00645CE5" w:rsidRDefault="0092445E" w:rsidP="0092445E">
      <w:pPr>
        <w:autoSpaceDE w:val="0"/>
        <w:autoSpaceDN w:val="0"/>
        <w:spacing w:line="360" w:lineRule="auto"/>
        <w:jc w:val="center"/>
        <w:rPr>
          <w:sz w:val="24"/>
          <w:szCs w:val="24"/>
          <w:lang w:val="es-ES_tradnl"/>
        </w:rPr>
      </w:pPr>
      <w:r>
        <w:rPr>
          <w:noProof/>
          <w:lang w:eastAsia="es-ES"/>
        </w:rPr>
        <w:drawing>
          <wp:inline distT="0" distB="0" distL="0" distR="0">
            <wp:extent cx="4191000" cy="2238375"/>
            <wp:effectExtent l="0" t="0" r="0" b="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2445E" w:rsidRPr="00BE20A7" w:rsidRDefault="0092445E" w:rsidP="0092445E">
      <w:pPr>
        <w:autoSpaceDE w:val="0"/>
        <w:autoSpaceDN w:val="0"/>
        <w:spacing w:line="360" w:lineRule="auto"/>
        <w:jc w:val="both"/>
        <w:rPr>
          <w:sz w:val="20"/>
        </w:rPr>
      </w:pPr>
      <w:r w:rsidRPr="00BE20A7">
        <w:rPr>
          <w:sz w:val="20"/>
        </w:rPr>
        <w:t>Fuente: Elaboración propia</w:t>
      </w:r>
    </w:p>
    <w:p w:rsidR="0092445E" w:rsidRDefault="0092445E" w:rsidP="00DA3274">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w:t>
      </w:r>
      <w:r w:rsidRPr="00BE20A7">
        <w:rPr>
          <w:sz w:val="20"/>
        </w:rPr>
        <w:t xml:space="preserve">. Eje horizontal, </w:t>
      </w:r>
      <w:r>
        <w:rPr>
          <w:sz w:val="20"/>
        </w:rPr>
        <w:t>rangos de número de años de actividad de los centros.</w:t>
      </w:r>
    </w:p>
    <w:p w:rsidR="00DA3274" w:rsidRPr="00446110" w:rsidRDefault="00DA3274" w:rsidP="00DA3274">
      <w:pPr>
        <w:spacing w:line="360" w:lineRule="auto"/>
        <w:jc w:val="both"/>
        <w:rPr>
          <w:sz w:val="20"/>
        </w:rPr>
      </w:pPr>
      <w:r>
        <w:rPr>
          <w:sz w:val="20"/>
        </w:rPr>
        <w:t>Datos de 2013</w:t>
      </w:r>
    </w:p>
    <w:p w:rsidR="0092445E" w:rsidRPr="0092445E" w:rsidRDefault="0092445E" w:rsidP="0092445E">
      <w:pPr>
        <w:spacing w:line="360" w:lineRule="auto"/>
        <w:jc w:val="both"/>
        <w:rPr>
          <w:sz w:val="24"/>
          <w:szCs w:val="24"/>
        </w:rPr>
      </w:pPr>
    </w:p>
    <w:p w:rsidR="00EC0B4D" w:rsidRPr="00BE20A7" w:rsidRDefault="00175E09" w:rsidP="00CE435B">
      <w:pPr>
        <w:spacing w:line="360" w:lineRule="auto"/>
        <w:jc w:val="both"/>
        <w:rPr>
          <w:sz w:val="24"/>
          <w:szCs w:val="24"/>
          <w:lang w:val="es-ES_tradnl"/>
        </w:rPr>
      </w:pPr>
      <w:r>
        <w:rPr>
          <w:sz w:val="24"/>
          <w:szCs w:val="24"/>
          <w:lang w:val="es-ES_tradnl"/>
        </w:rPr>
        <w:t xml:space="preserve">Un último aspecto a analizar </w:t>
      </w:r>
      <w:r w:rsidR="00EC0B4D" w:rsidRPr="00BE20A7">
        <w:rPr>
          <w:sz w:val="24"/>
          <w:szCs w:val="24"/>
          <w:lang w:val="es-ES_tradnl"/>
        </w:rPr>
        <w:t xml:space="preserve">es la relación entre el ratio de personas con discapacidad empleadas por los </w:t>
      </w:r>
      <w:r w:rsidR="00A95742">
        <w:rPr>
          <w:sz w:val="24"/>
          <w:szCs w:val="24"/>
          <w:lang w:val="es-ES_tradnl"/>
        </w:rPr>
        <w:t>CEEs</w:t>
      </w:r>
      <w:r w:rsidR="00EC0B4D" w:rsidRPr="00BE20A7">
        <w:rPr>
          <w:sz w:val="24"/>
          <w:szCs w:val="24"/>
          <w:lang w:val="es-ES_tradnl"/>
        </w:rPr>
        <w:t xml:space="preserve"> y </w:t>
      </w:r>
      <w:r w:rsidR="00EC0B4D">
        <w:rPr>
          <w:sz w:val="24"/>
          <w:szCs w:val="24"/>
          <w:lang w:val="es-ES_tradnl"/>
        </w:rPr>
        <w:t>su</w:t>
      </w:r>
      <w:r w:rsidR="00EC0B4D" w:rsidRPr="00BE20A7">
        <w:rPr>
          <w:sz w:val="24"/>
          <w:szCs w:val="24"/>
          <w:lang w:val="es-ES_tradnl"/>
        </w:rPr>
        <w:t xml:space="preserve"> rentabilidad. </w:t>
      </w:r>
      <w:r w:rsidR="00EC0B4D">
        <w:rPr>
          <w:sz w:val="24"/>
          <w:szCs w:val="24"/>
          <w:lang w:val="es-ES_tradnl"/>
        </w:rPr>
        <w:t>La</w:t>
      </w:r>
      <w:r w:rsidR="00EC0B4D" w:rsidRPr="00BE20A7">
        <w:rPr>
          <w:sz w:val="24"/>
          <w:szCs w:val="24"/>
          <w:lang w:val="es-ES_tradnl"/>
        </w:rPr>
        <w:t xml:space="preserve"> correlación que existe entre estas dos variables es prácticamente inexistente. </w:t>
      </w:r>
      <w:r>
        <w:rPr>
          <w:sz w:val="24"/>
          <w:szCs w:val="24"/>
          <w:lang w:val="es-ES_tradnl"/>
        </w:rPr>
        <w:t>Esto permite concluir que u</w:t>
      </w:r>
      <w:r w:rsidR="00EC0B4D" w:rsidRPr="00BE20A7">
        <w:rPr>
          <w:sz w:val="24"/>
          <w:szCs w:val="24"/>
          <w:lang w:val="es-ES_tradnl"/>
        </w:rPr>
        <w:t>na mayor proporción de personas con discapacidad en plantilla no pone en riesgo la ca</w:t>
      </w:r>
      <w:r w:rsidR="00CE435B">
        <w:rPr>
          <w:sz w:val="24"/>
          <w:szCs w:val="24"/>
          <w:lang w:val="es-ES_tradnl"/>
        </w:rPr>
        <w:t xml:space="preserve">pacidad de generar beneficios. </w:t>
      </w:r>
    </w:p>
    <w:p w:rsidR="00EC0B4D" w:rsidRPr="00BE20A7" w:rsidRDefault="003A7D46" w:rsidP="00842404">
      <w:pPr>
        <w:spacing w:before="360" w:line="360" w:lineRule="auto"/>
        <w:ind w:left="284"/>
        <w:rPr>
          <w:lang w:val="es-ES_tradnl"/>
        </w:rPr>
      </w:pPr>
      <w:r>
        <w:rPr>
          <w:noProof/>
          <w:lang w:eastAsia="es-ES"/>
        </w:rPr>
        <w:drawing>
          <wp:inline distT="0" distB="0" distL="0" distR="0">
            <wp:extent cx="4815840" cy="3329940"/>
            <wp:effectExtent l="0" t="0" r="3810" b="3810"/>
            <wp:docPr id="47"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C0B4D" w:rsidRDefault="00EC0B4D" w:rsidP="00EC0B4D">
      <w:pPr>
        <w:pStyle w:val="Prrafodelista"/>
        <w:spacing w:line="360" w:lineRule="auto"/>
        <w:ind w:left="0"/>
        <w:rPr>
          <w:sz w:val="20"/>
          <w:lang w:val="es-ES_tradnl"/>
        </w:rPr>
      </w:pPr>
    </w:p>
    <w:p w:rsidR="00EC0B4D" w:rsidRPr="00BE20A7" w:rsidRDefault="00EC0B4D" w:rsidP="00EC0B4D">
      <w:pPr>
        <w:pStyle w:val="Prrafodelista"/>
        <w:spacing w:line="360" w:lineRule="auto"/>
        <w:ind w:left="0"/>
        <w:rPr>
          <w:sz w:val="20"/>
          <w:lang w:val="es-ES_tradnl"/>
        </w:rPr>
      </w:pPr>
      <w:r w:rsidRPr="00BE20A7">
        <w:rPr>
          <w:sz w:val="20"/>
          <w:lang w:val="es-ES_tradnl"/>
        </w:rPr>
        <w:t>Fuente: elaboración propia</w:t>
      </w:r>
    </w:p>
    <w:p w:rsidR="00EC0B4D" w:rsidRDefault="007751C0" w:rsidP="00783DD8">
      <w:pPr>
        <w:pStyle w:val="Prrafodelista"/>
        <w:pBdr>
          <w:bottom w:val="single" w:sz="4" w:space="1" w:color="auto"/>
        </w:pBdr>
        <w:spacing w:line="360" w:lineRule="auto"/>
        <w:ind w:left="0"/>
        <w:rPr>
          <w:sz w:val="20"/>
          <w:lang w:val="es-ES_tradnl"/>
        </w:rPr>
      </w:pPr>
      <w:r>
        <w:rPr>
          <w:sz w:val="20"/>
          <w:lang w:val="es-ES_tradnl"/>
        </w:rPr>
        <w:t xml:space="preserve">Nota </w:t>
      </w:r>
      <w:r w:rsidR="00EC0B4D" w:rsidRPr="00BE20A7">
        <w:rPr>
          <w:sz w:val="20"/>
          <w:lang w:val="es-ES_tradnl"/>
        </w:rPr>
        <w:t xml:space="preserve">explicativa de la gráfica: Eje vertical: rentabilidad. Eje horizontal: ratio entre el número de personas con </w:t>
      </w:r>
      <w:proofErr w:type="gramStart"/>
      <w:r w:rsidR="00EC0B4D" w:rsidRPr="00BE20A7">
        <w:rPr>
          <w:sz w:val="20"/>
          <w:lang w:val="es-ES_tradnl"/>
        </w:rPr>
        <w:t>discapacidad empleadas</w:t>
      </w:r>
      <w:proofErr w:type="gramEnd"/>
      <w:r w:rsidR="00EC0B4D" w:rsidRPr="00BE20A7">
        <w:rPr>
          <w:sz w:val="20"/>
          <w:lang w:val="es-ES_tradnl"/>
        </w:rPr>
        <w:t xml:space="preserve"> y el número de empleados totales de cada centro.</w:t>
      </w:r>
    </w:p>
    <w:p w:rsidR="00783DD8" w:rsidRPr="00BE20A7" w:rsidRDefault="00783DD8" w:rsidP="00783DD8">
      <w:pPr>
        <w:pStyle w:val="Prrafodelista"/>
        <w:spacing w:line="360" w:lineRule="auto"/>
        <w:ind w:left="0"/>
        <w:rPr>
          <w:sz w:val="20"/>
          <w:lang w:val="es-ES_tradnl"/>
        </w:rPr>
      </w:pPr>
      <w:r>
        <w:rPr>
          <w:sz w:val="20"/>
          <w:lang w:val="es-ES_tradnl"/>
        </w:rPr>
        <w:t>Datos de 2012 y 2013</w:t>
      </w:r>
    </w:p>
    <w:p w:rsidR="00EC0B4D" w:rsidRPr="00BE20A7" w:rsidRDefault="00EC0B4D" w:rsidP="00281AE8">
      <w:pPr>
        <w:pStyle w:val="Ttulo3"/>
        <w:rPr>
          <w:lang w:val="es-ES_tradnl"/>
        </w:rPr>
      </w:pPr>
      <w:bookmarkStart w:id="235" w:name="_Toc410916880"/>
      <w:r>
        <w:rPr>
          <w:lang w:val="es-ES_tradnl"/>
        </w:rPr>
        <w:t xml:space="preserve">Empleo </w:t>
      </w:r>
      <w:r w:rsidRPr="00BE20A7">
        <w:rPr>
          <w:lang w:val="es-ES_tradnl"/>
        </w:rPr>
        <w:t xml:space="preserve">de las personas </w:t>
      </w:r>
      <w:r>
        <w:rPr>
          <w:lang w:val="es-ES_tradnl"/>
        </w:rPr>
        <w:t>con especiales dificultades</w:t>
      </w:r>
      <w:r w:rsidR="00592005">
        <w:rPr>
          <w:lang w:val="es-ES_tradnl"/>
        </w:rPr>
        <w:t>*</w:t>
      </w:r>
      <w:bookmarkEnd w:id="235"/>
    </w:p>
    <w:p w:rsidR="00EC0B4D" w:rsidRPr="00BE20A7" w:rsidRDefault="00EC0B4D" w:rsidP="00EC0B4D">
      <w:pPr>
        <w:pStyle w:val="Prrafodelista"/>
        <w:spacing w:line="360" w:lineRule="auto"/>
        <w:ind w:left="0"/>
        <w:rPr>
          <w:lang w:val="es-ES_tradnl"/>
        </w:rPr>
      </w:pPr>
    </w:p>
    <w:p w:rsidR="00EC0B4D" w:rsidRPr="00BE20A7" w:rsidRDefault="00EC0B4D" w:rsidP="00EC0B4D">
      <w:pPr>
        <w:spacing w:line="360" w:lineRule="auto"/>
        <w:jc w:val="both"/>
        <w:rPr>
          <w:sz w:val="24"/>
          <w:szCs w:val="24"/>
          <w:lang w:val="es-ES_tradnl"/>
        </w:rPr>
      </w:pPr>
      <w:r w:rsidRPr="00BE20A7">
        <w:rPr>
          <w:sz w:val="24"/>
          <w:szCs w:val="24"/>
          <w:lang w:val="es-ES_tradnl"/>
        </w:rPr>
        <w:t>Para tener una visión completa de</w:t>
      </w:r>
      <w:r>
        <w:rPr>
          <w:sz w:val="24"/>
          <w:szCs w:val="24"/>
          <w:lang w:val="es-ES_tradnl"/>
        </w:rPr>
        <w:t xml:space="preserve">l impacto social de </w:t>
      </w:r>
      <w:r w:rsidRPr="00BE20A7">
        <w:rPr>
          <w:sz w:val="24"/>
          <w:szCs w:val="24"/>
          <w:lang w:val="es-ES_tradnl"/>
        </w:rPr>
        <w:t xml:space="preserve">los </w:t>
      </w:r>
      <w:r w:rsidR="00A95742">
        <w:rPr>
          <w:sz w:val="24"/>
          <w:szCs w:val="24"/>
          <w:lang w:val="es-ES_tradnl"/>
        </w:rPr>
        <w:t>CEEs</w:t>
      </w:r>
      <w:r w:rsidRPr="00BE20A7">
        <w:rPr>
          <w:sz w:val="24"/>
          <w:szCs w:val="24"/>
          <w:lang w:val="es-ES_tradnl"/>
        </w:rPr>
        <w:t xml:space="preserve">, </w:t>
      </w:r>
      <w:r w:rsidR="00175E09">
        <w:rPr>
          <w:sz w:val="24"/>
          <w:szCs w:val="24"/>
          <w:lang w:val="es-ES_tradnl"/>
        </w:rPr>
        <w:t>deben tenerse</w:t>
      </w:r>
      <w:r w:rsidRPr="00BE20A7">
        <w:rPr>
          <w:sz w:val="24"/>
          <w:szCs w:val="24"/>
          <w:lang w:val="es-ES_tradnl"/>
        </w:rPr>
        <w:t xml:space="preserve"> en cuenta los datos relacionados con el empleo de </w:t>
      </w:r>
      <w:r w:rsidR="002329D9">
        <w:rPr>
          <w:sz w:val="24"/>
          <w:szCs w:val="24"/>
          <w:lang w:val="es-ES_tradnl"/>
        </w:rPr>
        <w:t>personas con especiales dificultades</w:t>
      </w:r>
      <w:r w:rsidRPr="00BE20A7">
        <w:rPr>
          <w:sz w:val="24"/>
          <w:szCs w:val="24"/>
          <w:lang w:val="es-ES_tradnl"/>
        </w:rPr>
        <w:t xml:space="preserve">. </w:t>
      </w:r>
      <w:r>
        <w:rPr>
          <w:sz w:val="24"/>
          <w:szCs w:val="24"/>
          <w:lang w:val="es-ES_tradnl"/>
        </w:rPr>
        <w:t xml:space="preserve">Cabe destacar que, como media, el 36% de las PCD empleadas en los </w:t>
      </w:r>
      <w:r w:rsidR="00A95742">
        <w:rPr>
          <w:sz w:val="24"/>
          <w:szCs w:val="24"/>
          <w:lang w:val="es-ES_tradnl"/>
        </w:rPr>
        <w:t>CEEs</w:t>
      </w:r>
      <w:r w:rsidR="00F72EDA">
        <w:rPr>
          <w:sz w:val="24"/>
          <w:szCs w:val="24"/>
          <w:lang w:val="es-ES_tradnl"/>
        </w:rPr>
        <w:t xml:space="preserve"> tienen especiales dificultades</w:t>
      </w:r>
      <w:r>
        <w:rPr>
          <w:sz w:val="24"/>
          <w:szCs w:val="24"/>
          <w:lang w:val="es-ES_tradnl"/>
        </w:rPr>
        <w:t xml:space="preserve">. </w:t>
      </w:r>
    </w:p>
    <w:p w:rsidR="00EC0B4D" w:rsidRPr="00BE20A7" w:rsidRDefault="00EC0B4D" w:rsidP="00EC0B4D">
      <w:pPr>
        <w:pStyle w:val="Prrafodelista"/>
        <w:spacing w:line="360" w:lineRule="auto"/>
        <w:ind w:left="0"/>
        <w:jc w:val="both"/>
      </w:pPr>
    </w:p>
    <w:p w:rsidR="00EC0B4D" w:rsidRPr="00BE20A7" w:rsidRDefault="00EC0B4D" w:rsidP="00EC0B4D">
      <w:pPr>
        <w:spacing w:line="360" w:lineRule="auto"/>
        <w:jc w:val="both"/>
        <w:rPr>
          <w:sz w:val="24"/>
          <w:szCs w:val="24"/>
          <w:lang w:val="es-ES_tradnl"/>
        </w:rPr>
      </w:pPr>
      <w:r w:rsidRPr="00BE20A7">
        <w:rPr>
          <w:sz w:val="24"/>
          <w:szCs w:val="24"/>
          <w:lang w:val="es-ES_tradnl"/>
        </w:rPr>
        <w:t>Como hemos visto anteriormente, el número medio de empleados con discapacidad por centro es de 24</w:t>
      </w:r>
      <w:r w:rsidR="00175E09">
        <w:rPr>
          <w:sz w:val="24"/>
          <w:szCs w:val="24"/>
          <w:lang w:val="es-ES_tradnl"/>
        </w:rPr>
        <w:t xml:space="preserve"> </w:t>
      </w:r>
      <w:r w:rsidRPr="00BE20A7">
        <w:rPr>
          <w:sz w:val="24"/>
          <w:szCs w:val="24"/>
          <w:lang w:val="es-ES_tradnl"/>
        </w:rPr>
        <w:t xml:space="preserve">personas. </w:t>
      </w:r>
      <w:r>
        <w:rPr>
          <w:sz w:val="24"/>
          <w:szCs w:val="24"/>
          <w:lang w:val="es-ES_tradnl"/>
        </w:rPr>
        <w:t>E</w:t>
      </w:r>
      <w:r w:rsidRPr="00BE20A7">
        <w:rPr>
          <w:sz w:val="24"/>
          <w:szCs w:val="24"/>
          <w:lang w:val="es-ES_tradnl"/>
        </w:rPr>
        <w:t xml:space="preserve">l número medio de </w:t>
      </w:r>
      <w:r w:rsidR="002329D9">
        <w:rPr>
          <w:sz w:val="24"/>
          <w:szCs w:val="24"/>
          <w:lang w:val="es-ES_tradnl"/>
        </w:rPr>
        <w:t>personas con discapacidad con especiales dificultades</w:t>
      </w:r>
      <w:r w:rsidRPr="00BE20A7">
        <w:rPr>
          <w:sz w:val="24"/>
          <w:szCs w:val="24"/>
          <w:lang w:val="es-ES_tradnl"/>
        </w:rPr>
        <w:t xml:space="preserve"> por centro es de</w:t>
      </w:r>
      <w:r w:rsidR="00840272">
        <w:rPr>
          <w:sz w:val="24"/>
          <w:szCs w:val="24"/>
          <w:lang w:val="es-ES_tradnl"/>
        </w:rPr>
        <w:t xml:space="preserve"> </w:t>
      </w:r>
      <w:r w:rsidR="00592005">
        <w:rPr>
          <w:sz w:val="24"/>
          <w:szCs w:val="24"/>
          <w:lang w:val="es-ES_tradnl"/>
        </w:rPr>
        <w:t>9</w:t>
      </w:r>
      <w:r w:rsidRPr="00BE20A7">
        <w:rPr>
          <w:sz w:val="24"/>
          <w:szCs w:val="24"/>
          <w:lang w:val="es-ES_tradnl"/>
        </w:rPr>
        <w:t xml:space="preserve">. </w:t>
      </w:r>
    </w:p>
    <w:p w:rsidR="00EC0B4D" w:rsidRPr="00BE20A7" w:rsidRDefault="00EC0B4D" w:rsidP="00EC0B4D">
      <w:pPr>
        <w:pBdr>
          <w:bottom w:val="single" w:sz="4" w:space="1" w:color="auto"/>
        </w:pBdr>
        <w:spacing w:line="360" w:lineRule="auto"/>
        <w:rPr>
          <w:sz w:val="24"/>
          <w:szCs w:val="24"/>
          <w:lang w:val="es-ES_tradnl"/>
        </w:rPr>
      </w:pPr>
    </w:p>
    <w:p w:rsidR="00EC0B4D" w:rsidRPr="00BE20A7" w:rsidRDefault="00A9770D" w:rsidP="00842404">
      <w:pPr>
        <w:pStyle w:val="Prrafodelista"/>
        <w:spacing w:before="360" w:line="360" w:lineRule="auto"/>
        <w:ind w:left="426"/>
        <w:jc w:val="both"/>
      </w:pPr>
      <w:r w:rsidRPr="00A9770D">
        <w:rPr>
          <w:noProof/>
          <w:lang w:eastAsia="es-ES"/>
        </w:rPr>
        <w:t xml:space="preserve"> </w:t>
      </w:r>
      <w:r w:rsidR="002D09DB">
        <w:rPr>
          <w:noProof/>
          <w:lang w:eastAsia="es-ES"/>
        </w:rPr>
        <w:drawing>
          <wp:inline distT="0" distB="0" distL="0" distR="0">
            <wp:extent cx="4445000" cy="2794000"/>
            <wp:effectExtent l="0" t="0" r="0" b="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C0B4D" w:rsidRPr="00BE20A7" w:rsidRDefault="00EC0B4D" w:rsidP="00EC0B4D">
      <w:pPr>
        <w:pStyle w:val="Prrafodelista"/>
        <w:spacing w:line="360" w:lineRule="auto"/>
        <w:ind w:left="0"/>
        <w:jc w:val="both"/>
        <w:rPr>
          <w:sz w:val="20"/>
          <w:lang w:val="es-ES_tradnl"/>
        </w:rPr>
      </w:pPr>
      <w:r w:rsidRPr="00BE20A7">
        <w:rPr>
          <w:sz w:val="20"/>
          <w:lang w:val="es-ES_tradnl"/>
        </w:rPr>
        <w:t>Fuente: Elaboración propia</w:t>
      </w:r>
    </w:p>
    <w:p w:rsidR="00EC0B4D" w:rsidRPr="00BE20A7" w:rsidRDefault="007751C0" w:rsidP="00EC0B4D">
      <w:pPr>
        <w:pStyle w:val="Prrafodelista"/>
        <w:pBdr>
          <w:bottom w:val="single" w:sz="4" w:space="1" w:color="auto"/>
        </w:pBdr>
        <w:spacing w:line="360" w:lineRule="auto"/>
        <w:ind w:left="0"/>
        <w:jc w:val="both"/>
        <w:rPr>
          <w:sz w:val="20"/>
          <w:lang w:val="es-ES_tradnl"/>
        </w:rPr>
      </w:pPr>
      <w:r>
        <w:rPr>
          <w:sz w:val="20"/>
          <w:lang w:val="es-ES_tradnl"/>
        </w:rPr>
        <w:t xml:space="preserve">Nota </w:t>
      </w:r>
      <w:r w:rsidR="00EC0B4D" w:rsidRPr="00BE20A7">
        <w:rPr>
          <w:sz w:val="20"/>
          <w:lang w:val="es-ES_tradnl"/>
        </w:rPr>
        <w:t xml:space="preserve">explicativa de la gráfica: Eje vertical: ratio entre el número de empleados con </w:t>
      </w:r>
      <w:r w:rsidR="00F72EDA">
        <w:rPr>
          <w:sz w:val="20"/>
          <w:lang w:val="es-ES_tradnl"/>
        </w:rPr>
        <w:t>especiales dificultades</w:t>
      </w:r>
      <w:r w:rsidR="00EC0B4D" w:rsidRPr="00BE20A7">
        <w:rPr>
          <w:sz w:val="20"/>
          <w:lang w:val="es-ES_tradnl"/>
        </w:rPr>
        <w:t xml:space="preserve"> y el número total de empleados con discapacidad de los </w:t>
      </w:r>
      <w:r w:rsidR="00A95742">
        <w:rPr>
          <w:sz w:val="20"/>
          <w:lang w:val="es-ES_tradnl"/>
        </w:rPr>
        <w:t>CEEs</w:t>
      </w:r>
      <w:r w:rsidR="00EC0B4D" w:rsidRPr="00BE20A7">
        <w:rPr>
          <w:sz w:val="20"/>
          <w:lang w:val="es-ES_tradnl"/>
        </w:rPr>
        <w:t>. Eje horizontal: estructura de la propiedad.</w:t>
      </w:r>
    </w:p>
    <w:p w:rsidR="009F5156" w:rsidRDefault="00783DD8" w:rsidP="00EC0B4D">
      <w:pPr>
        <w:pStyle w:val="Prrafodelista"/>
        <w:spacing w:before="360" w:line="360" w:lineRule="auto"/>
        <w:ind w:left="0"/>
        <w:rPr>
          <w:sz w:val="20"/>
          <w:lang w:val="es-ES_tradnl"/>
        </w:rPr>
      </w:pPr>
      <w:r>
        <w:rPr>
          <w:sz w:val="20"/>
          <w:lang w:val="es-ES_tradnl"/>
        </w:rPr>
        <w:t>Datos de 2013</w:t>
      </w:r>
    </w:p>
    <w:p w:rsidR="00783DD8" w:rsidRPr="00BE20A7" w:rsidRDefault="00783DD8" w:rsidP="00EC0B4D">
      <w:pPr>
        <w:pStyle w:val="Prrafodelista"/>
        <w:spacing w:before="360" w:line="360" w:lineRule="auto"/>
        <w:ind w:left="0"/>
        <w:rPr>
          <w:sz w:val="20"/>
          <w:lang w:val="es-ES_tradnl"/>
        </w:rPr>
      </w:pPr>
    </w:p>
    <w:p w:rsidR="00EC0B4D" w:rsidRPr="00BE20A7" w:rsidRDefault="00AC67C0" w:rsidP="00296DE8">
      <w:pPr>
        <w:pStyle w:val="Prrafodelista"/>
        <w:spacing w:before="360" w:line="360" w:lineRule="auto"/>
        <w:ind w:left="0"/>
      </w:pPr>
      <w:r>
        <w:rPr>
          <w:noProof/>
          <w:lang w:eastAsia="es-ES"/>
        </w:rPr>
      </w:r>
      <w:r>
        <w:rPr>
          <w:noProof/>
          <w:lang w:eastAsia="es-ES"/>
        </w:rPr>
        <w:pict>
          <v:shape id="Text Box 16" o:spid="_x0000_s1048" type="#_x0000_t202" style="width:429.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">
            <v:textbox>
              <w:txbxContent>
                <w:p w:rsidR="003C4DD0" w:rsidRPr="0068703A" w:rsidRDefault="003C4DD0" w:rsidP="00EC0B4D">
                  <w:pPr>
                    <w:spacing w:line="360" w:lineRule="auto"/>
                    <w:rPr>
                      <w:rFonts w:ascii="MinionPro-Regular" w:hAnsi="MinionPro-Regular"/>
                      <w:sz w:val="18"/>
                      <w:szCs w:val="18"/>
                      <w:lang w:val="es-ES_tradnl"/>
                    </w:rPr>
                  </w:pPr>
                  <w:r w:rsidRPr="0068703A">
                    <w:rPr>
                      <w:rFonts w:ascii="MinionPro-Regular" w:hAnsi="MinionPro-Regular"/>
                      <w:sz w:val="18"/>
                      <w:szCs w:val="18"/>
                      <w:lang w:val="es-ES_tradnl"/>
                    </w:rPr>
                    <w:t>*Se consideran</w:t>
                  </w:r>
                  <w:r>
                    <w:rPr>
                      <w:rFonts w:ascii="MinionPro-Regular" w:hAnsi="MinionPro-Regular"/>
                      <w:sz w:val="18"/>
                      <w:szCs w:val="18"/>
                      <w:lang w:val="es-ES_tradnl"/>
                    </w:rPr>
                    <w:t xml:space="preserve"> personas con</w:t>
                  </w:r>
                  <w:r w:rsidRPr="0068703A">
                    <w:rPr>
                      <w:rFonts w:ascii="MinionPro-Regular" w:hAnsi="MinionPro-Regular"/>
                      <w:sz w:val="18"/>
                      <w:szCs w:val="18"/>
                      <w:lang w:val="es-ES_tradnl"/>
                    </w:rPr>
                    <w:t xml:space="preserve"> especiales dificultades:</w:t>
                  </w:r>
                </w:p>
                <w:p w:rsidR="003C4DD0" w:rsidRDefault="003C4DD0" w:rsidP="00EC0B4D">
                  <w:pPr>
                    <w:numPr>
                      <w:ilvl w:val="0"/>
                      <w:numId w:val="38"/>
                    </w:numPr>
                    <w:spacing w:line="360" w:lineRule="auto"/>
                    <w:rPr>
                      <w:rFonts w:ascii="MinionPro-Regular" w:hAnsi="MinionPro-Regular"/>
                      <w:sz w:val="18"/>
                      <w:szCs w:val="18"/>
                      <w:lang w:val="es-ES_tradnl"/>
                    </w:rPr>
                  </w:pPr>
                  <w:r>
                    <w:rPr>
                      <w:rFonts w:ascii="MinionPro-Regular" w:hAnsi="MinionPro-Regular"/>
                      <w:sz w:val="18"/>
                      <w:szCs w:val="18"/>
                      <w:lang w:val="es-ES_tradnl"/>
                    </w:rPr>
                    <w:t>Personas con parálisis cerebral, personas con enfermedad mental o personas con discapacidad</w:t>
                  </w:r>
                  <w:r w:rsidRPr="0068703A">
                    <w:rPr>
                      <w:rFonts w:ascii="MinionPro-Regular" w:hAnsi="MinionPro-Regular"/>
                      <w:sz w:val="18"/>
                      <w:szCs w:val="18"/>
                      <w:lang w:val="es-ES_tradnl"/>
                    </w:rPr>
                    <w:t xml:space="preserve"> intelectual</w:t>
                  </w:r>
                  <w:r>
                    <w:rPr>
                      <w:rFonts w:ascii="MinionPro-Regular" w:hAnsi="MinionPro-Regular"/>
                      <w:sz w:val="18"/>
                      <w:szCs w:val="18"/>
                      <w:lang w:val="es-ES_tradnl"/>
                    </w:rPr>
                    <w:t>, con un grado de discapacidad</w:t>
                  </w:r>
                  <w:r w:rsidRPr="0068703A">
                    <w:rPr>
                      <w:rFonts w:ascii="MinionPro-Regular" w:hAnsi="MinionPro-Regular"/>
                      <w:sz w:val="18"/>
                      <w:szCs w:val="18"/>
                      <w:lang w:val="es-ES_tradnl"/>
                    </w:rPr>
                    <w:t xml:space="preserve"> reconocido igual o superior al 33%</w:t>
                  </w:r>
                  <w:r>
                    <w:rPr>
                      <w:rFonts w:ascii="MinionPro-Regular" w:hAnsi="MinionPro-Regular"/>
                      <w:sz w:val="18"/>
                      <w:szCs w:val="18"/>
                      <w:lang w:val="es-ES_tradnl"/>
                    </w:rPr>
                    <w:t>.</w:t>
                  </w:r>
                </w:p>
                <w:p w:rsidR="003C4DD0" w:rsidRPr="0068703A" w:rsidRDefault="003C4DD0" w:rsidP="00296DE8">
                  <w:pPr>
                    <w:numPr>
                      <w:ilvl w:val="0"/>
                      <w:numId w:val="38"/>
                    </w:numPr>
                    <w:spacing w:line="360" w:lineRule="auto"/>
                    <w:rPr>
                      <w:rFonts w:ascii="MinionPro-Regular" w:hAnsi="MinionPro-Regular"/>
                      <w:sz w:val="18"/>
                      <w:szCs w:val="18"/>
                      <w:lang w:val="es-ES_tradnl"/>
                    </w:rPr>
                  </w:pPr>
                  <w:r>
                    <w:rPr>
                      <w:rFonts w:ascii="MinionPro-Regular" w:hAnsi="MinionPro-Regular"/>
                      <w:sz w:val="18"/>
                      <w:szCs w:val="18"/>
                      <w:lang w:val="es-ES_tradnl"/>
                    </w:rPr>
                    <w:t>Personas con discapacidad</w:t>
                  </w:r>
                  <w:r w:rsidRPr="0068703A">
                    <w:rPr>
                      <w:rFonts w:ascii="MinionPro-Regular" w:hAnsi="MinionPro-Regular"/>
                      <w:sz w:val="18"/>
                      <w:szCs w:val="18"/>
                      <w:lang w:val="es-ES_tradnl"/>
                    </w:rPr>
                    <w:t xml:space="preserve"> física </w:t>
                  </w:r>
                  <w:r>
                    <w:rPr>
                      <w:rFonts w:ascii="MinionPro-Regular" w:hAnsi="MinionPro-Regular"/>
                      <w:sz w:val="18"/>
                      <w:szCs w:val="18"/>
                      <w:lang w:val="es-ES_tradnl"/>
                    </w:rPr>
                    <w:t>o sensorial con un grado de discapacidad</w:t>
                  </w:r>
                  <w:r w:rsidRPr="0068703A">
                    <w:rPr>
                      <w:rFonts w:ascii="MinionPro-Regular" w:hAnsi="MinionPro-Regular"/>
                      <w:sz w:val="18"/>
                      <w:szCs w:val="18"/>
                      <w:lang w:val="es-ES_tradnl"/>
                    </w:rPr>
                    <w:t xml:space="preserve"> reconocido igual o superior al 65%</w:t>
                  </w:r>
                  <w:r>
                    <w:rPr>
                      <w:rFonts w:ascii="MinionPro-Regular" w:hAnsi="MinionPro-Regular"/>
                      <w:sz w:val="18"/>
                      <w:szCs w:val="18"/>
                      <w:lang w:val="es-ES_tradnl"/>
                    </w:rPr>
                    <w:t>.</w:t>
                  </w:r>
                </w:p>
                <w:p w:rsidR="003C4DD0" w:rsidRPr="0068703A" w:rsidRDefault="003C4DD0" w:rsidP="00EC0B4D">
                  <w:pPr>
                    <w:numPr>
                      <w:ilvl w:val="0"/>
                      <w:numId w:val="38"/>
                    </w:numPr>
                    <w:spacing w:line="360" w:lineRule="auto"/>
                    <w:rPr>
                      <w:rFonts w:ascii="MinionPro-Regular" w:hAnsi="MinionPro-Regular"/>
                      <w:sz w:val="18"/>
                      <w:szCs w:val="18"/>
                      <w:lang w:val="es-ES_tradnl"/>
                    </w:rPr>
                  </w:pPr>
                </w:p>
              </w:txbxContent>
            </v:textbox>
            <w10:anchorlock/>
          </v:shape>
        </w:pict>
      </w:r>
      <w:r w:rsidR="00EC0B4D" w:rsidRPr="00BE20A7">
        <w:t xml:space="preserve"> </w:t>
      </w:r>
    </w:p>
    <w:p w:rsidR="00F910AC" w:rsidRDefault="00F910AC" w:rsidP="00296DE8">
      <w:pPr>
        <w:pStyle w:val="Prrafodelista"/>
        <w:spacing w:line="360" w:lineRule="auto"/>
        <w:ind w:left="-142"/>
        <w:jc w:val="both"/>
        <w:rPr>
          <w:sz w:val="24"/>
          <w:szCs w:val="24"/>
          <w:lang w:val="es-ES_tradnl"/>
        </w:rPr>
      </w:pPr>
    </w:p>
    <w:p w:rsidR="006C1B14" w:rsidRDefault="006C1B14" w:rsidP="006C1B14">
      <w:pPr>
        <w:spacing w:line="360" w:lineRule="auto"/>
        <w:jc w:val="both"/>
        <w:rPr>
          <w:sz w:val="24"/>
          <w:szCs w:val="24"/>
          <w:lang w:val="es-ES_tradnl"/>
        </w:rPr>
      </w:pPr>
      <w:r w:rsidRPr="003959C3">
        <w:rPr>
          <w:sz w:val="24"/>
          <w:szCs w:val="24"/>
          <w:lang w:val="es-ES_tradnl"/>
        </w:rPr>
        <w:t>Al analizar la</w:t>
      </w:r>
      <w:r>
        <w:rPr>
          <w:sz w:val="24"/>
          <w:szCs w:val="24"/>
          <w:lang w:val="es-ES_tradnl"/>
        </w:rPr>
        <w:t xml:space="preserve"> distribución del número de personas con discapacidad con especiales dificultades empleadas en los CEEs se observa que </w:t>
      </w:r>
      <w:r w:rsidR="00BF1871">
        <w:rPr>
          <w:sz w:val="24"/>
          <w:szCs w:val="24"/>
          <w:lang w:val="es-ES_tradnl"/>
        </w:rPr>
        <w:t>algunos</w:t>
      </w:r>
      <w:r w:rsidR="00DE7A08">
        <w:rPr>
          <w:sz w:val="24"/>
          <w:szCs w:val="24"/>
          <w:lang w:val="es-ES_tradnl"/>
        </w:rPr>
        <w:t xml:space="preserve"> de los centros no emplean a ninguna pers</w:t>
      </w:r>
      <w:r w:rsidR="00FD3DC4">
        <w:rPr>
          <w:sz w:val="24"/>
          <w:szCs w:val="24"/>
          <w:lang w:val="es-ES_tradnl"/>
        </w:rPr>
        <w:t>ona con especiales dificultades.</w:t>
      </w:r>
    </w:p>
    <w:p w:rsidR="006C1B14" w:rsidRPr="00645CE5" w:rsidRDefault="006C1B14" w:rsidP="006C1B14">
      <w:pPr>
        <w:autoSpaceDE w:val="0"/>
        <w:autoSpaceDN w:val="0"/>
        <w:spacing w:line="360" w:lineRule="auto"/>
        <w:jc w:val="center"/>
        <w:rPr>
          <w:sz w:val="24"/>
          <w:szCs w:val="24"/>
          <w:lang w:val="es-ES_tradnl"/>
        </w:rPr>
      </w:pPr>
      <w:r>
        <w:rPr>
          <w:noProof/>
          <w:lang w:eastAsia="es-ES"/>
        </w:rPr>
        <w:drawing>
          <wp:inline distT="0" distB="0" distL="0" distR="0">
            <wp:extent cx="4267200" cy="26003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C1B14" w:rsidRPr="00BE20A7" w:rsidRDefault="006C1B14" w:rsidP="006C1B14">
      <w:pPr>
        <w:autoSpaceDE w:val="0"/>
        <w:autoSpaceDN w:val="0"/>
        <w:spacing w:line="360" w:lineRule="auto"/>
        <w:jc w:val="both"/>
        <w:rPr>
          <w:sz w:val="20"/>
        </w:rPr>
      </w:pPr>
      <w:r w:rsidRPr="00BE20A7">
        <w:rPr>
          <w:sz w:val="20"/>
        </w:rPr>
        <w:t>Fuente: Elaboración propia</w:t>
      </w:r>
    </w:p>
    <w:p w:rsidR="006C1B14" w:rsidRPr="00446110" w:rsidRDefault="006C1B14" w:rsidP="006C1B14">
      <w:pPr>
        <w:pBdr>
          <w:bottom w:val="single" w:sz="4" w:space="1" w:color="auto"/>
        </w:pBdr>
        <w:spacing w:line="360" w:lineRule="auto"/>
        <w:jc w:val="both"/>
        <w:rPr>
          <w:sz w:val="20"/>
        </w:rPr>
      </w:pPr>
      <w:r>
        <w:rPr>
          <w:sz w:val="20"/>
        </w:rPr>
        <w:t xml:space="preserve">Nota </w:t>
      </w:r>
      <w:r w:rsidRPr="00BE20A7">
        <w:rPr>
          <w:sz w:val="20"/>
        </w:rPr>
        <w:t xml:space="preserve">explicativa de la gráfica: Eje vertical, </w:t>
      </w:r>
      <w:r>
        <w:rPr>
          <w:sz w:val="20"/>
        </w:rPr>
        <w:t>número de centros</w:t>
      </w:r>
      <w:r w:rsidRPr="00BE20A7">
        <w:rPr>
          <w:sz w:val="20"/>
        </w:rPr>
        <w:t xml:space="preserve">. Eje horizontal, </w:t>
      </w:r>
      <w:r>
        <w:rPr>
          <w:sz w:val="20"/>
        </w:rPr>
        <w:t>rangos de número de personas con discapacidad empleadas.</w:t>
      </w:r>
    </w:p>
    <w:p w:rsidR="006C1B14" w:rsidRPr="006C1B14" w:rsidRDefault="006C1B14" w:rsidP="00EC0B4D">
      <w:pPr>
        <w:pStyle w:val="Prrafodelista"/>
        <w:spacing w:line="360" w:lineRule="auto"/>
        <w:ind w:left="0"/>
        <w:jc w:val="both"/>
        <w:rPr>
          <w:sz w:val="24"/>
          <w:szCs w:val="24"/>
        </w:rPr>
      </w:pPr>
    </w:p>
    <w:p w:rsidR="00A57C30" w:rsidRPr="00BE20A7" w:rsidRDefault="00EC0B4D" w:rsidP="00A57C30">
      <w:pPr>
        <w:pStyle w:val="Prrafodelista"/>
        <w:spacing w:line="360" w:lineRule="auto"/>
        <w:ind w:left="0"/>
        <w:jc w:val="both"/>
        <w:rPr>
          <w:sz w:val="24"/>
          <w:szCs w:val="24"/>
          <w:lang w:val="es-ES_tradnl"/>
        </w:rPr>
      </w:pPr>
      <w:r w:rsidRPr="00BE20A7">
        <w:rPr>
          <w:sz w:val="24"/>
          <w:szCs w:val="24"/>
          <w:lang w:val="es-ES_tradnl"/>
        </w:rPr>
        <w:t xml:space="preserve">La correlación positiva entre la antigüedad de los </w:t>
      </w:r>
      <w:r w:rsidR="00A95742">
        <w:rPr>
          <w:sz w:val="24"/>
          <w:szCs w:val="24"/>
          <w:lang w:val="es-ES_tradnl"/>
        </w:rPr>
        <w:t>CEEs</w:t>
      </w:r>
      <w:r w:rsidRPr="00BE20A7">
        <w:rPr>
          <w:sz w:val="24"/>
          <w:szCs w:val="24"/>
          <w:lang w:val="es-ES_tradnl"/>
        </w:rPr>
        <w:t xml:space="preserve"> y el ratio de personas empleadas se mantiene para el colectivo de </w:t>
      </w:r>
      <w:r w:rsidR="002329D9">
        <w:rPr>
          <w:sz w:val="24"/>
          <w:szCs w:val="24"/>
          <w:lang w:val="es-ES_tradnl"/>
        </w:rPr>
        <w:t>personas con especiales dificultades</w:t>
      </w:r>
      <w:r w:rsidRPr="00BE20A7">
        <w:rPr>
          <w:sz w:val="24"/>
          <w:szCs w:val="24"/>
          <w:lang w:val="es-ES_tradnl"/>
        </w:rPr>
        <w:t xml:space="preserve">. Aunque la tendencia es menos pronunciada, se aprecia una correlación positiva entre la antigüedad de los </w:t>
      </w:r>
      <w:r w:rsidR="00A95742">
        <w:rPr>
          <w:sz w:val="24"/>
          <w:szCs w:val="24"/>
          <w:lang w:val="es-ES_tradnl"/>
        </w:rPr>
        <w:t>CEEs</w:t>
      </w:r>
      <w:r w:rsidRPr="00BE20A7">
        <w:rPr>
          <w:sz w:val="24"/>
          <w:szCs w:val="24"/>
          <w:lang w:val="es-ES_tradnl"/>
        </w:rPr>
        <w:t xml:space="preserve"> y el porcentaje de </w:t>
      </w:r>
      <w:r w:rsidR="002329D9">
        <w:rPr>
          <w:sz w:val="24"/>
          <w:szCs w:val="24"/>
          <w:lang w:val="es-ES_tradnl"/>
        </w:rPr>
        <w:t>personas con discapacidad con especiales dificultades</w:t>
      </w:r>
      <w:r w:rsidRPr="00BE20A7">
        <w:rPr>
          <w:sz w:val="24"/>
          <w:szCs w:val="24"/>
          <w:lang w:val="es-ES_tradnl"/>
        </w:rPr>
        <w:t xml:space="preserve"> empleadas, lo que sugiere que cuanto más consolidado está en un centro especial de empleo </w:t>
      </w:r>
      <w:r w:rsidR="00175E09">
        <w:rPr>
          <w:sz w:val="24"/>
          <w:szCs w:val="24"/>
          <w:lang w:val="es-ES_tradnl"/>
        </w:rPr>
        <w:t>mayor es su capacidad de integrar a todos los colectivos</w:t>
      </w:r>
      <w:r w:rsidRPr="00BE20A7">
        <w:rPr>
          <w:sz w:val="24"/>
          <w:szCs w:val="24"/>
          <w:lang w:val="es-ES_tradnl"/>
        </w:rPr>
        <w:t>.</w:t>
      </w:r>
      <w:r w:rsidR="00592005">
        <w:rPr>
          <w:sz w:val="24"/>
          <w:szCs w:val="24"/>
          <w:lang w:val="es-ES_tradnl"/>
        </w:rPr>
        <w:t xml:space="preserve"> Esta </w:t>
      </w:r>
      <w:r w:rsidR="00A57C30">
        <w:rPr>
          <w:sz w:val="24"/>
          <w:szCs w:val="24"/>
          <w:lang w:val="es-ES_tradnl"/>
        </w:rPr>
        <w:t>cor</w:t>
      </w:r>
      <w:r w:rsidR="00592005">
        <w:rPr>
          <w:sz w:val="24"/>
          <w:szCs w:val="24"/>
          <w:lang w:val="es-ES_tradnl"/>
        </w:rPr>
        <w:t>relación</w:t>
      </w:r>
      <w:r w:rsidR="00A57C30">
        <w:rPr>
          <w:sz w:val="24"/>
          <w:szCs w:val="24"/>
          <w:lang w:val="es-ES_tradnl"/>
        </w:rPr>
        <w:t>, sin embargo,</w:t>
      </w:r>
      <w:r w:rsidR="00592005">
        <w:rPr>
          <w:sz w:val="24"/>
          <w:szCs w:val="24"/>
          <w:lang w:val="es-ES_tradnl"/>
        </w:rPr>
        <w:t xml:space="preserve"> también puede encontrar una explicación en el hecho de que los centros de mayor antigüedad</w:t>
      </w:r>
      <w:r w:rsidR="00A57C30">
        <w:rPr>
          <w:sz w:val="24"/>
          <w:szCs w:val="24"/>
          <w:lang w:val="es-ES_tradnl"/>
        </w:rPr>
        <w:t>, los primeros que se crearon,</w:t>
      </w:r>
      <w:r w:rsidR="00592005">
        <w:rPr>
          <w:sz w:val="24"/>
          <w:szCs w:val="24"/>
          <w:lang w:val="es-ES_tradnl"/>
        </w:rPr>
        <w:t xml:space="preserve"> son aquellos </w:t>
      </w:r>
      <w:r w:rsidR="00A57C30">
        <w:rPr>
          <w:sz w:val="24"/>
          <w:szCs w:val="24"/>
          <w:lang w:val="es-ES_tradnl"/>
        </w:rPr>
        <w:t>promovidos por entidades de la discapacidad.</w:t>
      </w:r>
    </w:p>
    <w:p w:rsidR="00CC5AB6" w:rsidRPr="00BE20A7" w:rsidRDefault="00CC5AB6" w:rsidP="00842404">
      <w:pPr>
        <w:pStyle w:val="Prrafodelista"/>
        <w:spacing w:before="360" w:line="360" w:lineRule="auto"/>
        <w:ind w:left="-142"/>
        <w:jc w:val="both"/>
        <w:rPr>
          <w:sz w:val="20"/>
          <w:lang w:val="es-ES_tradnl"/>
        </w:rPr>
      </w:pPr>
      <w:r w:rsidRPr="00CC5AB6">
        <w:rPr>
          <w:noProof/>
          <w:lang w:eastAsia="es-ES"/>
        </w:rPr>
        <w:t xml:space="preserve"> </w:t>
      </w:r>
      <w:r>
        <w:rPr>
          <w:noProof/>
          <w:lang w:eastAsia="es-ES"/>
        </w:rPr>
        <w:drawing>
          <wp:inline distT="0" distB="0" distL="0" distR="0">
            <wp:extent cx="5017273" cy="3490622"/>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C0B4D" w:rsidRPr="00BE20A7" w:rsidRDefault="00EC0B4D" w:rsidP="00EC0B4D">
      <w:pPr>
        <w:pStyle w:val="Prrafodelista"/>
        <w:spacing w:before="360" w:line="360" w:lineRule="auto"/>
        <w:ind w:left="0"/>
        <w:rPr>
          <w:sz w:val="20"/>
          <w:lang w:val="es-ES_tradnl"/>
        </w:rPr>
      </w:pPr>
    </w:p>
    <w:p w:rsidR="00EC0B4D" w:rsidRPr="00BE20A7" w:rsidRDefault="00EC0B4D" w:rsidP="00EC0B4D">
      <w:pPr>
        <w:pStyle w:val="Prrafodelista"/>
        <w:spacing w:line="360" w:lineRule="auto"/>
        <w:ind w:left="0"/>
        <w:jc w:val="both"/>
        <w:rPr>
          <w:sz w:val="20"/>
          <w:lang w:val="es-ES_tradnl"/>
        </w:rPr>
      </w:pPr>
      <w:r w:rsidRPr="00BE20A7">
        <w:rPr>
          <w:sz w:val="20"/>
          <w:lang w:val="es-ES_tradnl"/>
        </w:rPr>
        <w:t>Fuente: elaboración propia.</w:t>
      </w:r>
    </w:p>
    <w:p w:rsidR="00EC0B4D" w:rsidRPr="00BE20A7" w:rsidRDefault="007751C0" w:rsidP="00EC0B4D">
      <w:pPr>
        <w:pStyle w:val="Prrafodelista"/>
        <w:pBdr>
          <w:bottom w:val="single" w:sz="4" w:space="1" w:color="auto"/>
        </w:pBdr>
        <w:spacing w:line="360" w:lineRule="auto"/>
        <w:ind w:left="0"/>
        <w:jc w:val="both"/>
        <w:rPr>
          <w:sz w:val="20"/>
          <w:lang w:val="es-ES_tradnl"/>
        </w:rPr>
      </w:pPr>
      <w:r>
        <w:rPr>
          <w:sz w:val="20"/>
          <w:lang w:val="es-ES_tradnl"/>
        </w:rPr>
        <w:t xml:space="preserve">Nota </w:t>
      </w:r>
      <w:r w:rsidR="00EC0B4D" w:rsidRPr="00BE20A7">
        <w:rPr>
          <w:sz w:val="20"/>
          <w:lang w:val="es-ES_tradnl"/>
        </w:rPr>
        <w:t xml:space="preserve">explicativa de la gráfica: Eje vertical: número de años que los </w:t>
      </w:r>
      <w:r w:rsidR="00A95742">
        <w:rPr>
          <w:sz w:val="20"/>
          <w:lang w:val="es-ES_tradnl"/>
        </w:rPr>
        <w:t>CEEs</w:t>
      </w:r>
      <w:r w:rsidR="00EC0B4D" w:rsidRPr="00BE20A7">
        <w:rPr>
          <w:sz w:val="20"/>
          <w:lang w:val="es-ES_tradnl"/>
        </w:rPr>
        <w:t xml:space="preserve"> llevan en funcionamiento.</w:t>
      </w:r>
    </w:p>
    <w:p w:rsidR="00EC0B4D" w:rsidRPr="00BE20A7" w:rsidRDefault="00EC0B4D" w:rsidP="00EC0B4D">
      <w:pPr>
        <w:pStyle w:val="Prrafodelista"/>
        <w:pBdr>
          <w:bottom w:val="single" w:sz="4" w:space="1" w:color="auto"/>
        </w:pBdr>
        <w:spacing w:line="360" w:lineRule="auto"/>
        <w:ind w:left="0"/>
        <w:jc w:val="both"/>
        <w:rPr>
          <w:sz w:val="20"/>
          <w:lang w:val="es-ES_tradnl"/>
        </w:rPr>
      </w:pPr>
      <w:r w:rsidRPr="00BE20A7">
        <w:rPr>
          <w:sz w:val="20"/>
          <w:lang w:val="es-ES_tradnl"/>
        </w:rPr>
        <w:t xml:space="preserve">Eje horizontal: ratio de </w:t>
      </w:r>
      <w:r w:rsidR="002329D9">
        <w:rPr>
          <w:sz w:val="20"/>
          <w:lang w:val="es-ES_tradnl"/>
        </w:rPr>
        <w:t>personas con discapacidad con especiales dificultades</w:t>
      </w:r>
      <w:r w:rsidRPr="00BE20A7">
        <w:rPr>
          <w:sz w:val="20"/>
          <w:lang w:val="es-ES_tradnl"/>
        </w:rPr>
        <w:t xml:space="preserve"> empleadas por los </w:t>
      </w:r>
      <w:r w:rsidR="00A95742">
        <w:rPr>
          <w:sz w:val="20"/>
          <w:lang w:val="es-ES_tradnl"/>
        </w:rPr>
        <w:t>CEEs</w:t>
      </w:r>
      <w:r w:rsidRPr="00BE20A7">
        <w:rPr>
          <w:sz w:val="20"/>
          <w:lang w:val="es-ES_tradnl"/>
        </w:rPr>
        <w:t xml:space="preserve"> sobre el número de personas con discapacidad </w:t>
      </w:r>
    </w:p>
    <w:p w:rsidR="00EC0B4D" w:rsidRDefault="009F5156" w:rsidP="00EC0B4D">
      <w:pPr>
        <w:pStyle w:val="Prrafodelista"/>
        <w:spacing w:line="360" w:lineRule="auto"/>
        <w:ind w:left="0"/>
        <w:jc w:val="both"/>
        <w:rPr>
          <w:sz w:val="18"/>
          <w:szCs w:val="18"/>
          <w:lang w:val="es-ES_tradnl"/>
        </w:rPr>
      </w:pPr>
      <w:r w:rsidRPr="00842404">
        <w:rPr>
          <w:sz w:val="18"/>
          <w:szCs w:val="18"/>
          <w:lang w:val="es-ES_tradnl"/>
        </w:rPr>
        <w:t>Datos de 2013</w:t>
      </w:r>
    </w:p>
    <w:p w:rsidR="00592005" w:rsidRDefault="00592005" w:rsidP="00EC0B4D">
      <w:pPr>
        <w:pStyle w:val="Prrafodelista"/>
        <w:spacing w:line="360" w:lineRule="auto"/>
        <w:ind w:left="0"/>
        <w:jc w:val="both"/>
        <w:rPr>
          <w:sz w:val="18"/>
          <w:szCs w:val="18"/>
          <w:lang w:val="es-ES_tradnl"/>
        </w:rPr>
      </w:pPr>
    </w:p>
    <w:p w:rsidR="00592005" w:rsidRDefault="00592005" w:rsidP="00EC0B4D">
      <w:pPr>
        <w:pStyle w:val="Prrafodelista"/>
        <w:spacing w:line="360" w:lineRule="auto"/>
        <w:ind w:left="0"/>
        <w:jc w:val="both"/>
        <w:rPr>
          <w:sz w:val="18"/>
          <w:szCs w:val="18"/>
          <w:lang w:val="es-ES_tradnl"/>
        </w:rPr>
      </w:pPr>
      <w:r>
        <w:rPr>
          <w:noProof/>
          <w:lang w:eastAsia="es-ES"/>
        </w:rPr>
        <w:drawing>
          <wp:inline distT="0" distB="0" distL="0" distR="0">
            <wp:extent cx="5324476" cy="2562225"/>
            <wp:effectExtent l="0" t="0" r="9525" b="952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92005" w:rsidRPr="00BE20A7" w:rsidRDefault="00592005" w:rsidP="00592005">
      <w:pPr>
        <w:pStyle w:val="Prrafodelista"/>
        <w:spacing w:line="360" w:lineRule="auto"/>
        <w:ind w:left="0"/>
        <w:jc w:val="both"/>
        <w:rPr>
          <w:sz w:val="20"/>
          <w:lang w:val="es-ES_tradnl"/>
        </w:rPr>
      </w:pPr>
      <w:r w:rsidRPr="00BE20A7">
        <w:rPr>
          <w:sz w:val="20"/>
          <w:lang w:val="es-ES_tradnl"/>
        </w:rPr>
        <w:t>Fuente: elaboración propia.</w:t>
      </w:r>
    </w:p>
    <w:p w:rsidR="00CD361A" w:rsidRPr="00BE20A7" w:rsidRDefault="00592005" w:rsidP="00CD361A">
      <w:pPr>
        <w:pStyle w:val="Prrafodelista"/>
        <w:pBdr>
          <w:bottom w:val="single" w:sz="4" w:space="1" w:color="auto"/>
        </w:pBdr>
        <w:spacing w:line="360" w:lineRule="auto"/>
        <w:ind w:left="0"/>
        <w:jc w:val="both"/>
        <w:rPr>
          <w:sz w:val="20"/>
          <w:lang w:val="es-ES_tradnl"/>
        </w:rPr>
      </w:pPr>
      <w:r>
        <w:rPr>
          <w:sz w:val="20"/>
          <w:lang w:val="es-ES_tradnl"/>
        </w:rPr>
        <w:t xml:space="preserve">Nota </w:t>
      </w:r>
      <w:r w:rsidRPr="00BE20A7">
        <w:rPr>
          <w:sz w:val="20"/>
          <w:lang w:val="es-ES_tradnl"/>
        </w:rPr>
        <w:t xml:space="preserve">explicativa de la gráfica: Eje vertical: </w:t>
      </w:r>
      <w:r>
        <w:rPr>
          <w:sz w:val="20"/>
          <w:lang w:val="es-ES_tradnl"/>
        </w:rPr>
        <w:t xml:space="preserve">porcentaje de centros que tienen más de un 20% de sus empleados con discapacidad con discapacidades elevadas. </w:t>
      </w:r>
      <w:r w:rsidRPr="00BE20A7">
        <w:rPr>
          <w:sz w:val="20"/>
          <w:lang w:val="es-ES_tradnl"/>
        </w:rPr>
        <w:t xml:space="preserve">Eje horizontal: </w:t>
      </w:r>
      <w:r>
        <w:rPr>
          <w:sz w:val="20"/>
          <w:lang w:val="es-ES_tradnl"/>
        </w:rPr>
        <w:t>estructura de la propiedad. Un 62% de</w:t>
      </w:r>
      <w:r w:rsidR="00CD361A">
        <w:rPr>
          <w:sz w:val="20"/>
          <w:lang w:val="es-ES_tradnl"/>
        </w:rPr>
        <w:t xml:space="preserve"> los centros analizados tienen</w:t>
      </w:r>
      <w:r>
        <w:rPr>
          <w:sz w:val="20"/>
          <w:lang w:val="es-ES_tradnl"/>
        </w:rPr>
        <w:t xml:space="preserve"> más de un 20% de sus </w:t>
      </w:r>
      <w:r w:rsidR="00CD361A">
        <w:rPr>
          <w:sz w:val="20"/>
          <w:lang w:val="es-ES_tradnl"/>
        </w:rPr>
        <w:t xml:space="preserve">empleados con discapacidad con discapacidades elevadas. Un 88% de los centros de iniciativa social analizados tienen más de un 20% de sus empleados con discapacidad con discapacidades elevadas. Un 51% de los centros de iniciativa empresarial analizados tienen más de un 20% de sus empleados con discapacidad con discapacidades elevadas. </w:t>
      </w:r>
    </w:p>
    <w:p w:rsidR="00592005" w:rsidRPr="00BE20A7" w:rsidRDefault="00592005" w:rsidP="00592005">
      <w:pPr>
        <w:pStyle w:val="Prrafodelista"/>
        <w:pBdr>
          <w:bottom w:val="single" w:sz="4" w:space="1" w:color="auto"/>
        </w:pBdr>
        <w:spacing w:line="360" w:lineRule="auto"/>
        <w:ind w:left="0"/>
        <w:jc w:val="both"/>
        <w:rPr>
          <w:sz w:val="20"/>
          <w:lang w:val="es-ES_tradnl"/>
        </w:rPr>
      </w:pPr>
    </w:p>
    <w:p w:rsidR="00592005" w:rsidRPr="00842404" w:rsidRDefault="00592005" w:rsidP="00EC0B4D">
      <w:pPr>
        <w:pStyle w:val="Prrafodelista"/>
        <w:spacing w:line="360" w:lineRule="auto"/>
        <w:ind w:left="0"/>
        <w:jc w:val="both"/>
        <w:rPr>
          <w:sz w:val="18"/>
          <w:szCs w:val="18"/>
          <w:lang w:val="es-ES_tradnl"/>
        </w:rPr>
      </w:pPr>
    </w:p>
    <w:p w:rsidR="00EC0B4D" w:rsidRPr="00BE20A7" w:rsidRDefault="00EC0B4D" w:rsidP="00281AE8">
      <w:pPr>
        <w:pStyle w:val="Ttulo3"/>
      </w:pPr>
      <w:bookmarkStart w:id="236" w:name="_Toc410916881"/>
      <w:r w:rsidRPr="00BE20A7">
        <w:rPr>
          <w:lang w:val="es-ES_tradnl"/>
        </w:rPr>
        <w:t>Estabilidad en el empleo de las personas con discapacidad</w:t>
      </w:r>
      <w:bookmarkEnd w:id="236"/>
    </w:p>
    <w:p w:rsidR="00EC0B4D" w:rsidRPr="00BE20A7" w:rsidRDefault="00EC0B4D" w:rsidP="00EC0B4D">
      <w:pPr>
        <w:pStyle w:val="Prrafodelista"/>
        <w:spacing w:line="360" w:lineRule="auto"/>
        <w:ind w:left="0"/>
        <w:jc w:val="both"/>
        <w:rPr>
          <w:lang w:val="es-ES_tradnl"/>
        </w:rPr>
      </w:pPr>
    </w:p>
    <w:p w:rsidR="00EC0B4D" w:rsidRPr="00BE20A7" w:rsidRDefault="00EC0B4D" w:rsidP="00EC0B4D">
      <w:pPr>
        <w:spacing w:line="360" w:lineRule="auto"/>
        <w:jc w:val="both"/>
        <w:rPr>
          <w:sz w:val="24"/>
          <w:szCs w:val="24"/>
          <w:lang w:val="es-ES_tradnl"/>
        </w:rPr>
      </w:pPr>
      <w:r w:rsidRPr="00BE20A7">
        <w:rPr>
          <w:sz w:val="24"/>
          <w:szCs w:val="24"/>
          <w:lang w:val="es-ES_tradnl"/>
        </w:rPr>
        <w:t xml:space="preserve">A la hora de valorar </w:t>
      </w:r>
      <w:r>
        <w:rPr>
          <w:sz w:val="24"/>
          <w:szCs w:val="24"/>
          <w:lang w:val="es-ES_tradnl"/>
        </w:rPr>
        <w:t>la calidad del</w:t>
      </w:r>
      <w:r w:rsidRPr="00BE20A7">
        <w:rPr>
          <w:sz w:val="24"/>
          <w:szCs w:val="24"/>
          <w:lang w:val="es-ES_tradnl"/>
        </w:rPr>
        <w:t xml:space="preserve"> empleo, uno de los principales factores </w:t>
      </w:r>
      <w:r>
        <w:rPr>
          <w:sz w:val="24"/>
          <w:szCs w:val="24"/>
          <w:lang w:val="es-ES_tradnl"/>
        </w:rPr>
        <w:t xml:space="preserve">a considerar es </w:t>
      </w:r>
      <w:r w:rsidRPr="00BE20A7">
        <w:rPr>
          <w:sz w:val="24"/>
          <w:szCs w:val="24"/>
          <w:lang w:val="es-ES_tradnl"/>
        </w:rPr>
        <w:t xml:space="preserve">la estabilidad. En el caso de las personas con discapacidad, la estabilidad en el empleo toma especial relevancia dado que se enfrentan a </w:t>
      </w:r>
      <w:r w:rsidR="00840272">
        <w:rPr>
          <w:sz w:val="24"/>
          <w:szCs w:val="24"/>
          <w:lang w:val="es-ES_tradnl"/>
        </w:rPr>
        <w:t>un menor número de</w:t>
      </w:r>
      <w:r w:rsidRPr="00BE20A7">
        <w:rPr>
          <w:sz w:val="24"/>
          <w:szCs w:val="24"/>
          <w:lang w:val="es-ES_tradnl"/>
        </w:rPr>
        <w:t xml:space="preserve"> oportunidades laborales.</w:t>
      </w:r>
    </w:p>
    <w:p w:rsidR="00EC0B4D" w:rsidRDefault="00EC0B4D" w:rsidP="00EC0B4D">
      <w:pPr>
        <w:spacing w:line="360" w:lineRule="auto"/>
        <w:jc w:val="both"/>
        <w:rPr>
          <w:sz w:val="24"/>
          <w:szCs w:val="24"/>
          <w:lang w:val="es-ES_tradnl"/>
        </w:rPr>
      </w:pPr>
    </w:p>
    <w:p w:rsidR="00EC0B4D" w:rsidRDefault="00EC0B4D" w:rsidP="00EC0B4D">
      <w:pPr>
        <w:spacing w:line="360" w:lineRule="auto"/>
        <w:jc w:val="both"/>
        <w:rPr>
          <w:sz w:val="24"/>
          <w:szCs w:val="24"/>
          <w:lang w:val="es-ES_tradnl"/>
        </w:rPr>
      </w:pPr>
      <w:r w:rsidRPr="00BE20A7">
        <w:rPr>
          <w:sz w:val="24"/>
          <w:szCs w:val="24"/>
          <w:lang w:val="es-ES_tradnl"/>
        </w:rPr>
        <w:t xml:space="preserve">El desempeño de los </w:t>
      </w:r>
      <w:r w:rsidR="00263316">
        <w:rPr>
          <w:sz w:val="24"/>
          <w:szCs w:val="24"/>
          <w:lang w:val="es-ES_tradnl"/>
        </w:rPr>
        <w:t>CEEs</w:t>
      </w:r>
      <w:r w:rsidRPr="00BE20A7">
        <w:rPr>
          <w:sz w:val="24"/>
          <w:szCs w:val="24"/>
          <w:lang w:val="es-ES_tradnl"/>
        </w:rPr>
        <w:t xml:space="preserve"> de Castilla y León en este ámbito es sobresaliente. 103 de los 165 </w:t>
      </w:r>
      <w:r w:rsidR="00175E09">
        <w:rPr>
          <w:sz w:val="24"/>
          <w:szCs w:val="24"/>
          <w:lang w:val="es-ES_tradnl"/>
        </w:rPr>
        <w:t>centros</w:t>
      </w:r>
      <w:r w:rsidRPr="00BE20A7">
        <w:rPr>
          <w:sz w:val="24"/>
          <w:szCs w:val="24"/>
          <w:lang w:val="es-ES_tradnl"/>
        </w:rPr>
        <w:t xml:space="preserve"> analizados en </w:t>
      </w:r>
      <w:proofErr w:type="gramStart"/>
      <w:r w:rsidRPr="00BE20A7">
        <w:rPr>
          <w:sz w:val="24"/>
          <w:szCs w:val="24"/>
          <w:lang w:val="es-ES_tradnl"/>
        </w:rPr>
        <w:t>este</w:t>
      </w:r>
      <w:proofErr w:type="gramEnd"/>
      <w:r w:rsidRPr="00BE20A7">
        <w:rPr>
          <w:sz w:val="24"/>
          <w:szCs w:val="24"/>
          <w:lang w:val="es-ES_tradnl"/>
        </w:rPr>
        <w:t xml:space="preserve"> área tienen a más de un 60% de sus empleados con discapacidad con contrato indefinido, y en 65 de ellos el 100% de los empleados con discapacidad tienen contrato </w:t>
      </w:r>
      <w:r w:rsidRPr="000A347A">
        <w:rPr>
          <w:sz w:val="24"/>
          <w:szCs w:val="24"/>
          <w:lang w:val="es-ES_tradnl"/>
        </w:rPr>
        <w:t>indefin</w:t>
      </w:r>
      <w:r w:rsidR="00175E09" w:rsidRPr="000A347A">
        <w:rPr>
          <w:sz w:val="24"/>
          <w:szCs w:val="24"/>
          <w:lang w:val="es-ES_tradnl"/>
        </w:rPr>
        <w:t xml:space="preserve">ido. </w:t>
      </w:r>
    </w:p>
    <w:p w:rsidR="009B3F54" w:rsidRPr="00BE20A7" w:rsidRDefault="009B3F54" w:rsidP="00EC0B4D">
      <w:pPr>
        <w:spacing w:line="360" w:lineRule="auto"/>
        <w:jc w:val="both"/>
        <w:rPr>
          <w:sz w:val="24"/>
          <w:szCs w:val="24"/>
          <w:lang w:val="es-ES_tradnl"/>
        </w:rPr>
      </w:pPr>
    </w:p>
    <w:p w:rsidR="00EC0B4D" w:rsidRPr="00B347A1" w:rsidRDefault="00EC0B4D" w:rsidP="00B347A1">
      <w:pPr>
        <w:spacing w:line="360" w:lineRule="auto"/>
        <w:jc w:val="both"/>
        <w:rPr>
          <w:sz w:val="24"/>
          <w:szCs w:val="24"/>
          <w:lang w:val="es-ES_tradnl"/>
        </w:rPr>
      </w:pPr>
      <w:r w:rsidRPr="00BE20A7">
        <w:rPr>
          <w:sz w:val="24"/>
          <w:szCs w:val="24"/>
          <w:lang w:val="es-ES_tradnl"/>
        </w:rPr>
        <w:t xml:space="preserve">Asimismo, el porcentaje de personas con discapacidad con contrato indefinido aumentó en </w:t>
      </w:r>
      <w:r w:rsidR="00F50AF5">
        <w:rPr>
          <w:sz w:val="24"/>
          <w:szCs w:val="24"/>
          <w:lang w:val="es-ES_tradnl"/>
        </w:rPr>
        <w:t>aproximadamente un tercio de los</w:t>
      </w:r>
      <w:r w:rsidRPr="00BE20A7">
        <w:rPr>
          <w:sz w:val="24"/>
          <w:szCs w:val="24"/>
          <w:lang w:val="es-ES_tradnl"/>
        </w:rPr>
        <w:t xml:space="preserve"> </w:t>
      </w:r>
      <w:r w:rsidR="00A95742">
        <w:rPr>
          <w:sz w:val="24"/>
          <w:szCs w:val="24"/>
          <w:lang w:val="es-ES_tradnl"/>
        </w:rPr>
        <w:t>CEEs</w:t>
      </w:r>
      <w:r w:rsidRPr="00BE20A7">
        <w:rPr>
          <w:sz w:val="24"/>
          <w:szCs w:val="24"/>
          <w:lang w:val="es-ES_tradnl"/>
        </w:rPr>
        <w:t xml:space="preserve"> analizados durante el periodo 2011-2013. Esto </w:t>
      </w:r>
      <w:r w:rsidR="00F50AF5">
        <w:rPr>
          <w:sz w:val="24"/>
          <w:szCs w:val="24"/>
          <w:lang w:val="es-ES_tradnl"/>
        </w:rPr>
        <w:t>es</w:t>
      </w:r>
      <w:r w:rsidRPr="00BE20A7">
        <w:rPr>
          <w:sz w:val="24"/>
          <w:szCs w:val="24"/>
          <w:lang w:val="es-ES_tradnl"/>
        </w:rPr>
        <w:t xml:space="preserve"> un hecho destacable considerando que en ese mismo periodo el porcentaje de asalariados con contrato indefinido descendió en toda España.</w:t>
      </w:r>
      <w:r w:rsidRPr="00BE20A7">
        <w:rPr>
          <w:sz w:val="24"/>
          <w:szCs w:val="24"/>
        </w:rPr>
        <w:footnoteReference w:id="10"/>
      </w:r>
    </w:p>
    <w:p w:rsidR="00EC0B4D" w:rsidRPr="00BE20A7" w:rsidRDefault="00EC0B4D" w:rsidP="00281AE8">
      <w:pPr>
        <w:pStyle w:val="Ttulo3"/>
        <w:rPr>
          <w:lang w:val="es-ES_tradnl"/>
        </w:rPr>
      </w:pPr>
      <w:bookmarkStart w:id="237" w:name="_Toc410916882"/>
      <w:r w:rsidRPr="00BE20A7">
        <w:rPr>
          <w:lang w:val="es-ES_tradnl"/>
        </w:rPr>
        <w:t>Dinamización de los entornos rurales</w:t>
      </w:r>
      <w:bookmarkEnd w:id="237"/>
    </w:p>
    <w:p w:rsidR="00EC0B4D" w:rsidRPr="00BE20A7" w:rsidRDefault="00EC0B4D" w:rsidP="00EC0B4D">
      <w:pPr>
        <w:pStyle w:val="Prrafodelista"/>
        <w:spacing w:line="360" w:lineRule="auto"/>
        <w:ind w:left="0"/>
        <w:jc w:val="both"/>
        <w:rPr>
          <w:sz w:val="24"/>
          <w:szCs w:val="24"/>
          <w:lang w:val="es-ES_tradnl"/>
        </w:rPr>
      </w:pPr>
    </w:p>
    <w:p w:rsidR="00EC0B4D" w:rsidRPr="00BE20A7" w:rsidRDefault="00EC0B4D" w:rsidP="00EC0B4D">
      <w:pPr>
        <w:pStyle w:val="Prrafodelista"/>
        <w:spacing w:line="360" w:lineRule="auto"/>
        <w:ind w:left="0"/>
        <w:jc w:val="both"/>
        <w:rPr>
          <w:sz w:val="24"/>
          <w:szCs w:val="24"/>
          <w:lang w:val="es-ES_tradnl"/>
        </w:rPr>
      </w:pPr>
      <w:r>
        <w:rPr>
          <w:sz w:val="24"/>
          <w:szCs w:val="24"/>
          <w:lang w:val="es-ES_tradnl"/>
        </w:rPr>
        <w:t>Los</w:t>
      </w:r>
      <w:r w:rsidRPr="00BE20A7">
        <w:rPr>
          <w:sz w:val="24"/>
          <w:szCs w:val="24"/>
          <w:lang w:val="es-ES_tradnl"/>
        </w:rPr>
        <w:t xml:space="preserve"> </w:t>
      </w:r>
      <w:r w:rsidR="00263316">
        <w:rPr>
          <w:sz w:val="24"/>
          <w:szCs w:val="24"/>
          <w:lang w:val="es-ES_tradnl"/>
        </w:rPr>
        <w:t>CEEs</w:t>
      </w:r>
      <w:r>
        <w:rPr>
          <w:sz w:val="24"/>
          <w:szCs w:val="24"/>
          <w:lang w:val="es-ES_tradnl"/>
        </w:rPr>
        <w:t xml:space="preserve"> </w:t>
      </w:r>
      <w:r w:rsidR="00F50AF5">
        <w:rPr>
          <w:sz w:val="24"/>
          <w:szCs w:val="24"/>
          <w:lang w:val="es-ES_tradnl"/>
        </w:rPr>
        <w:t>suponen un estímulo económico a las áreas donde actúan</w:t>
      </w:r>
      <w:r w:rsidRPr="00BE20A7">
        <w:rPr>
          <w:sz w:val="24"/>
          <w:szCs w:val="24"/>
          <w:lang w:val="es-ES_tradnl"/>
        </w:rPr>
        <w:t xml:space="preserve">, sobre todo cuando se sitúan en </w:t>
      </w:r>
      <w:r w:rsidR="00F50AF5">
        <w:rPr>
          <w:sz w:val="24"/>
          <w:szCs w:val="24"/>
          <w:lang w:val="es-ES_tradnl"/>
        </w:rPr>
        <w:t xml:space="preserve">zonas </w:t>
      </w:r>
      <w:r w:rsidRPr="00BE20A7">
        <w:rPr>
          <w:sz w:val="24"/>
          <w:szCs w:val="24"/>
          <w:lang w:val="es-ES_tradnl"/>
        </w:rPr>
        <w:t xml:space="preserve">poco pobladas y </w:t>
      </w:r>
      <w:r w:rsidR="00F50AF5">
        <w:rPr>
          <w:sz w:val="24"/>
          <w:szCs w:val="24"/>
          <w:lang w:val="es-ES_tradnl"/>
        </w:rPr>
        <w:t>pueden constituir</w:t>
      </w:r>
      <w:r w:rsidRPr="00BE20A7">
        <w:rPr>
          <w:sz w:val="24"/>
          <w:szCs w:val="24"/>
          <w:lang w:val="es-ES_tradnl"/>
        </w:rPr>
        <w:t xml:space="preserve"> la principal fuente de empleo. Este estudio ha analizado ese impacto partiendo de la base de que un centro especial de empleo situado en un término municipal rural o de menos de 20.000 habitantes genera un mayor impacto social que un centro situado en un municipio de más de 20.000 habitantes. </w:t>
      </w:r>
    </w:p>
    <w:p w:rsidR="00EC0B4D" w:rsidRPr="00BE20A7" w:rsidRDefault="00EC0B4D" w:rsidP="00EC0B4D">
      <w:pPr>
        <w:pStyle w:val="Prrafodelista"/>
        <w:spacing w:line="360" w:lineRule="auto"/>
        <w:ind w:left="0"/>
        <w:jc w:val="both"/>
        <w:rPr>
          <w:sz w:val="24"/>
          <w:szCs w:val="24"/>
          <w:lang w:val="es-ES_tradnl"/>
        </w:rPr>
      </w:pPr>
    </w:p>
    <w:p w:rsidR="00EC0B4D" w:rsidRPr="00BE20A7" w:rsidRDefault="00F50AF5" w:rsidP="00EC0B4D">
      <w:pPr>
        <w:pStyle w:val="Prrafodelista"/>
        <w:spacing w:line="360" w:lineRule="auto"/>
        <w:ind w:left="0"/>
        <w:jc w:val="both"/>
        <w:rPr>
          <w:sz w:val="24"/>
          <w:szCs w:val="24"/>
          <w:lang w:val="es-ES_tradnl"/>
        </w:rPr>
      </w:pPr>
      <w:r>
        <w:rPr>
          <w:sz w:val="24"/>
          <w:szCs w:val="24"/>
          <w:lang w:val="es-ES_tradnl"/>
        </w:rPr>
        <w:t xml:space="preserve">Un 36% de los CEEs de Castilla y León </w:t>
      </w:r>
      <w:r w:rsidR="00EC0B4D" w:rsidRPr="00BE20A7">
        <w:rPr>
          <w:sz w:val="24"/>
          <w:szCs w:val="24"/>
          <w:lang w:val="es-ES_tradnl"/>
        </w:rPr>
        <w:t xml:space="preserve">se encuentran en entornos de menos de 20.000 habitantes. El porcentaje de </w:t>
      </w:r>
      <w:r>
        <w:rPr>
          <w:sz w:val="24"/>
          <w:szCs w:val="24"/>
          <w:lang w:val="es-ES_tradnl"/>
        </w:rPr>
        <w:t>centros</w:t>
      </w:r>
      <w:r w:rsidR="00EC0B4D" w:rsidRPr="00BE20A7">
        <w:rPr>
          <w:sz w:val="24"/>
          <w:szCs w:val="24"/>
          <w:lang w:val="es-ES_tradnl"/>
        </w:rPr>
        <w:t xml:space="preserve"> </w:t>
      </w:r>
      <w:r>
        <w:rPr>
          <w:sz w:val="24"/>
          <w:szCs w:val="24"/>
          <w:lang w:val="es-ES_tradnl"/>
        </w:rPr>
        <w:t xml:space="preserve">en ámbito rural </w:t>
      </w:r>
      <w:r w:rsidR="00EC0B4D" w:rsidRPr="00BE20A7">
        <w:rPr>
          <w:sz w:val="24"/>
          <w:szCs w:val="24"/>
          <w:lang w:val="es-ES_tradnl"/>
        </w:rPr>
        <w:t xml:space="preserve">es ligeramente mayor para los de </w:t>
      </w:r>
      <w:r w:rsidR="003D6D08">
        <w:rPr>
          <w:sz w:val="24"/>
          <w:szCs w:val="24"/>
          <w:lang w:val="es-ES_tradnl"/>
        </w:rPr>
        <w:t>iniciativa empresarial</w:t>
      </w:r>
      <w:r w:rsidR="00EC0B4D" w:rsidRPr="00BE20A7">
        <w:rPr>
          <w:sz w:val="24"/>
          <w:szCs w:val="24"/>
          <w:lang w:val="es-ES_tradnl"/>
        </w:rPr>
        <w:t xml:space="preserve"> </w:t>
      </w:r>
      <w:r>
        <w:rPr>
          <w:sz w:val="24"/>
          <w:szCs w:val="24"/>
          <w:lang w:val="es-ES_tradnl"/>
        </w:rPr>
        <w:t>que para los de iniciativa social</w:t>
      </w:r>
      <w:r w:rsidR="00B23CB6">
        <w:rPr>
          <w:sz w:val="24"/>
          <w:szCs w:val="24"/>
          <w:lang w:val="es-ES_tradnl"/>
        </w:rPr>
        <w:t xml:space="preserve">. Sin embargo, hay un mayor número de personas empleadas en entornos rurales por </w:t>
      </w:r>
      <w:r>
        <w:rPr>
          <w:sz w:val="24"/>
          <w:szCs w:val="24"/>
          <w:lang w:val="es-ES_tradnl"/>
        </w:rPr>
        <w:t>centros</w:t>
      </w:r>
      <w:r w:rsidR="00B23CB6">
        <w:rPr>
          <w:sz w:val="24"/>
          <w:szCs w:val="24"/>
          <w:lang w:val="es-ES_tradnl"/>
        </w:rPr>
        <w:t xml:space="preserve"> de iniciativa social que por </w:t>
      </w:r>
      <w:r>
        <w:rPr>
          <w:sz w:val="24"/>
          <w:szCs w:val="24"/>
          <w:lang w:val="es-ES_tradnl"/>
        </w:rPr>
        <w:t>los</w:t>
      </w:r>
      <w:r w:rsidR="00B23CB6">
        <w:rPr>
          <w:sz w:val="24"/>
          <w:szCs w:val="24"/>
          <w:lang w:val="es-ES_tradnl"/>
        </w:rPr>
        <w:t xml:space="preserve"> de </w:t>
      </w:r>
      <w:r w:rsidR="003D6D08">
        <w:rPr>
          <w:sz w:val="24"/>
          <w:szCs w:val="24"/>
          <w:lang w:val="es-ES_tradnl"/>
        </w:rPr>
        <w:t>iniciativa empresarial</w:t>
      </w:r>
      <w:r w:rsidR="00B23CB6">
        <w:rPr>
          <w:sz w:val="24"/>
          <w:szCs w:val="24"/>
          <w:lang w:val="es-ES_tradnl"/>
        </w:rPr>
        <w:t xml:space="preserve">. En cualquier caso, el número de personas empleadas es mayor en entornos urbanos que en entornos rurales: </w:t>
      </w:r>
      <w:r w:rsidR="00B23CB6" w:rsidRPr="00BE20A7">
        <w:rPr>
          <w:sz w:val="24"/>
          <w:szCs w:val="24"/>
          <w:lang w:val="es-ES_tradnl"/>
        </w:rPr>
        <w:t xml:space="preserve">991 personas con discapacidad están empleadas por </w:t>
      </w:r>
      <w:r w:rsidR="00263316">
        <w:rPr>
          <w:sz w:val="24"/>
          <w:szCs w:val="24"/>
          <w:lang w:val="es-ES_tradnl"/>
        </w:rPr>
        <w:t>CEEs</w:t>
      </w:r>
      <w:r w:rsidR="00B23CB6" w:rsidRPr="00BE20A7">
        <w:rPr>
          <w:sz w:val="24"/>
          <w:szCs w:val="24"/>
          <w:lang w:val="es-ES_tradnl"/>
        </w:rPr>
        <w:t xml:space="preserve"> en entornos rurales, mientras que 3036 están empleadas en entornos urbanos. </w:t>
      </w:r>
    </w:p>
    <w:p w:rsidR="00EC0B4D" w:rsidRPr="00BE20A7" w:rsidRDefault="00EC0B4D" w:rsidP="00EC0B4D">
      <w:pPr>
        <w:pStyle w:val="Prrafodelista"/>
        <w:pBdr>
          <w:bottom w:val="single" w:sz="4" w:space="1" w:color="auto"/>
        </w:pBdr>
        <w:spacing w:line="360" w:lineRule="auto"/>
        <w:ind w:left="0"/>
        <w:rPr>
          <w:sz w:val="24"/>
          <w:szCs w:val="24"/>
          <w:lang w:val="es-ES_tradnl"/>
        </w:rPr>
      </w:pPr>
    </w:p>
    <w:p w:rsidR="00EC0B4D" w:rsidRPr="00BE20A7" w:rsidRDefault="005077D1" w:rsidP="00163CD7">
      <w:pPr>
        <w:pStyle w:val="Prrafodelista"/>
        <w:spacing w:before="360" w:line="360" w:lineRule="auto"/>
        <w:ind w:left="-284"/>
        <w:jc w:val="center"/>
        <w:rPr>
          <w:lang w:val="es-ES_tradnl"/>
        </w:rPr>
      </w:pPr>
      <w:r>
        <w:rPr>
          <w:noProof/>
          <w:lang w:eastAsia="es-ES"/>
        </w:rPr>
        <w:drawing>
          <wp:inline distT="0" distB="0" distL="0" distR="0">
            <wp:extent cx="4552950" cy="2971800"/>
            <wp:effectExtent l="0" t="0" r="0" b="0"/>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C0B4D" w:rsidRPr="00BE20A7" w:rsidRDefault="00EC0B4D" w:rsidP="00EC0B4D">
      <w:pPr>
        <w:pStyle w:val="Prrafodelista"/>
        <w:spacing w:line="360" w:lineRule="auto"/>
        <w:ind w:left="0"/>
        <w:jc w:val="both"/>
        <w:rPr>
          <w:sz w:val="20"/>
          <w:lang w:val="es-ES_tradnl"/>
        </w:rPr>
      </w:pPr>
      <w:r w:rsidRPr="00BE20A7">
        <w:rPr>
          <w:sz w:val="20"/>
          <w:lang w:val="es-ES_tradnl"/>
        </w:rPr>
        <w:t>Fuente: elaboración propia</w:t>
      </w:r>
    </w:p>
    <w:p w:rsidR="00EC0B4D" w:rsidRDefault="007751C0" w:rsidP="00163CD7">
      <w:pPr>
        <w:pStyle w:val="Prrafodelista"/>
        <w:pBdr>
          <w:bottom w:val="single" w:sz="4" w:space="1" w:color="auto"/>
        </w:pBdr>
        <w:spacing w:line="360" w:lineRule="auto"/>
        <w:ind w:left="0"/>
        <w:jc w:val="both"/>
        <w:rPr>
          <w:sz w:val="20"/>
          <w:lang w:val="es-ES_tradnl"/>
        </w:rPr>
      </w:pPr>
      <w:r>
        <w:rPr>
          <w:sz w:val="20"/>
          <w:lang w:val="es-ES_tradnl"/>
        </w:rPr>
        <w:t xml:space="preserve">Nota </w:t>
      </w:r>
      <w:r w:rsidR="00EC0B4D" w:rsidRPr="00BE20A7">
        <w:rPr>
          <w:sz w:val="20"/>
          <w:lang w:val="es-ES_tradnl"/>
        </w:rPr>
        <w:t xml:space="preserve">explicativa de la gráfica: Eje vertical, porcentaje de </w:t>
      </w:r>
      <w:r w:rsidR="00A95742">
        <w:rPr>
          <w:sz w:val="20"/>
          <w:lang w:val="es-ES_tradnl"/>
        </w:rPr>
        <w:t>CEEs</w:t>
      </w:r>
      <w:r w:rsidR="00EC0B4D" w:rsidRPr="00BE20A7">
        <w:rPr>
          <w:sz w:val="20"/>
          <w:lang w:val="es-ES_tradnl"/>
        </w:rPr>
        <w:t xml:space="preserve"> situados en municipios de menos de 20.000 habitantes y porcentaje de </w:t>
      </w:r>
      <w:r w:rsidR="00A95742">
        <w:rPr>
          <w:sz w:val="20"/>
          <w:lang w:val="es-ES_tradnl"/>
        </w:rPr>
        <w:t>CEEs</w:t>
      </w:r>
      <w:r w:rsidR="00EC0B4D" w:rsidRPr="00BE20A7">
        <w:rPr>
          <w:sz w:val="20"/>
          <w:lang w:val="es-ES_tradnl"/>
        </w:rPr>
        <w:t xml:space="preserve"> situados en municipios de más de 20.000 habitantes. Eje horizontal, división de los </w:t>
      </w:r>
      <w:r w:rsidR="00A95742">
        <w:rPr>
          <w:sz w:val="20"/>
          <w:lang w:val="es-ES_tradnl"/>
        </w:rPr>
        <w:t>CEEs</w:t>
      </w:r>
      <w:r w:rsidR="00EC0B4D" w:rsidRPr="00BE20A7">
        <w:rPr>
          <w:sz w:val="20"/>
          <w:lang w:val="es-ES_tradnl"/>
        </w:rPr>
        <w:t xml:space="preserve"> </w:t>
      </w:r>
      <w:r w:rsidR="00B23CB6">
        <w:rPr>
          <w:sz w:val="20"/>
          <w:lang w:val="es-ES_tradnl"/>
        </w:rPr>
        <w:t>por estructura de la propiedad.</w:t>
      </w:r>
    </w:p>
    <w:p w:rsidR="00163CD7" w:rsidRDefault="00163CD7" w:rsidP="00163CD7">
      <w:pPr>
        <w:pStyle w:val="Prrafodelista"/>
        <w:spacing w:line="360" w:lineRule="auto"/>
        <w:ind w:left="0"/>
        <w:jc w:val="both"/>
        <w:rPr>
          <w:sz w:val="20"/>
          <w:lang w:val="es-ES_tradnl"/>
        </w:rPr>
      </w:pPr>
    </w:p>
    <w:p w:rsidR="00163CD7" w:rsidRDefault="00163CD7" w:rsidP="00163CD7">
      <w:pPr>
        <w:pStyle w:val="Prrafodelista"/>
        <w:spacing w:line="360" w:lineRule="auto"/>
        <w:ind w:left="0"/>
        <w:jc w:val="both"/>
        <w:rPr>
          <w:sz w:val="20"/>
          <w:lang w:val="es-ES_tradnl"/>
        </w:rPr>
      </w:pPr>
    </w:p>
    <w:p w:rsidR="00EC0B4D" w:rsidRPr="00BE20A7" w:rsidRDefault="00C931C2" w:rsidP="00EC0B4D">
      <w:pPr>
        <w:pStyle w:val="Prrafodelista"/>
        <w:spacing w:before="360" w:line="360" w:lineRule="auto"/>
        <w:ind w:left="0"/>
        <w:rPr>
          <w:lang w:val="es-ES_tradnl"/>
        </w:rPr>
      </w:pPr>
      <w:r w:rsidRPr="00C931C2">
        <w:rPr>
          <w:noProof/>
          <w:lang w:eastAsia="es-ES"/>
        </w:rPr>
        <w:t xml:space="preserve"> </w:t>
      </w:r>
      <w:r>
        <w:rPr>
          <w:noProof/>
          <w:lang w:eastAsia="es-ES"/>
        </w:rPr>
        <w:drawing>
          <wp:inline distT="0" distB="0" distL="0" distR="0">
            <wp:extent cx="4643562" cy="2790908"/>
            <wp:effectExtent l="0" t="0" r="0" b="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C0B4D" w:rsidRPr="00BE20A7" w:rsidRDefault="00EC0B4D" w:rsidP="00EC0B4D">
      <w:pPr>
        <w:pStyle w:val="Prrafodelista"/>
        <w:spacing w:line="360" w:lineRule="auto"/>
        <w:ind w:left="0"/>
        <w:jc w:val="both"/>
        <w:rPr>
          <w:sz w:val="20"/>
          <w:lang w:val="es-ES_tradnl"/>
        </w:rPr>
      </w:pPr>
      <w:r w:rsidRPr="00BE20A7">
        <w:rPr>
          <w:sz w:val="20"/>
          <w:lang w:val="es-ES_tradnl"/>
        </w:rPr>
        <w:t>Fuente: elaboración propia</w:t>
      </w:r>
    </w:p>
    <w:p w:rsidR="00EC0B4D" w:rsidRDefault="007751C0" w:rsidP="00C03B02">
      <w:pPr>
        <w:pStyle w:val="Prrafodelista"/>
        <w:pBdr>
          <w:bottom w:val="single" w:sz="4" w:space="1" w:color="auto"/>
        </w:pBdr>
        <w:spacing w:line="360" w:lineRule="auto"/>
        <w:ind w:left="0"/>
        <w:jc w:val="both"/>
        <w:rPr>
          <w:sz w:val="20"/>
          <w:lang w:val="es-ES_tradnl"/>
        </w:rPr>
      </w:pPr>
      <w:r>
        <w:rPr>
          <w:sz w:val="20"/>
          <w:lang w:val="es-ES_tradnl"/>
        </w:rPr>
        <w:t xml:space="preserve">Nota </w:t>
      </w:r>
      <w:r w:rsidR="00EC0B4D" w:rsidRPr="00BE20A7">
        <w:rPr>
          <w:sz w:val="20"/>
          <w:lang w:val="es-ES_tradnl"/>
        </w:rPr>
        <w:t xml:space="preserve">explicativa de la gráfica: Eje vertical, número de </w:t>
      </w:r>
      <w:r w:rsidR="00A95742">
        <w:rPr>
          <w:sz w:val="20"/>
          <w:lang w:val="es-ES_tradnl"/>
        </w:rPr>
        <w:t>CEEs</w:t>
      </w:r>
      <w:r w:rsidR="00EC0B4D" w:rsidRPr="00BE20A7">
        <w:rPr>
          <w:sz w:val="20"/>
          <w:lang w:val="es-ES_tradnl"/>
        </w:rPr>
        <w:t xml:space="preserve"> situados en municipios de menos de 20.000 habitantes y número de </w:t>
      </w:r>
      <w:r w:rsidR="00A95742">
        <w:rPr>
          <w:sz w:val="20"/>
          <w:lang w:val="es-ES_tradnl"/>
        </w:rPr>
        <w:t>CEEs</w:t>
      </w:r>
      <w:r w:rsidR="00EC0B4D" w:rsidRPr="00BE20A7">
        <w:rPr>
          <w:sz w:val="20"/>
          <w:lang w:val="es-ES_tradnl"/>
        </w:rPr>
        <w:t xml:space="preserve"> situados en municipios de más de 20.000 habitantes. Eje horizontal, división de los </w:t>
      </w:r>
      <w:r w:rsidR="00A95742">
        <w:rPr>
          <w:sz w:val="20"/>
          <w:lang w:val="es-ES_tradnl"/>
        </w:rPr>
        <w:t>CEEs</w:t>
      </w:r>
      <w:r w:rsidR="00EC0B4D" w:rsidRPr="00BE20A7">
        <w:rPr>
          <w:sz w:val="20"/>
          <w:lang w:val="es-ES_tradnl"/>
        </w:rPr>
        <w:t xml:space="preserve"> </w:t>
      </w:r>
      <w:r w:rsidR="00B23CB6">
        <w:rPr>
          <w:sz w:val="20"/>
          <w:lang w:val="es-ES_tradnl"/>
        </w:rPr>
        <w:t>por estructura de la propiedad.</w:t>
      </w:r>
    </w:p>
    <w:p w:rsidR="00163CD7" w:rsidRDefault="00163CD7" w:rsidP="00C03B02">
      <w:pPr>
        <w:pStyle w:val="Prrafodelista"/>
        <w:spacing w:line="360" w:lineRule="auto"/>
        <w:ind w:left="0"/>
        <w:jc w:val="both"/>
        <w:rPr>
          <w:sz w:val="20"/>
          <w:lang w:val="es-ES_tradnl"/>
        </w:rPr>
      </w:pPr>
    </w:p>
    <w:p w:rsidR="00EC0B4D" w:rsidRPr="00BE20A7" w:rsidRDefault="00C931C2" w:rsidP="00652665">
      <w:pPr>
        <w:pStyle w:val="Prrafodelista"/>
        <w:spacing w:before="360" w:line="360" w:lineRule="auto"/>
        <w:ind w:left="-709"/>
        <w:jc w:val="center"/>
        <w:rPr>
          <w:lang w:val="es-ES_tradnl"/>
        </w:rPr>
      </w:pPr>
      <w:r w:rsidRPr="00C931C2">
        <w:rPr>
          <w:noProof/>
          <w:lang w:eastAsia="es-ES"/>
        </w:rPr>
        <w:t xml:space="preserve"> </w:t>
      </w:r>
      <w:r w:rsidR="00653653">
        <w:rPr>
          <w:noProof/>
          <w:lang w:eastAsia="es-ES"/>
        </w:rPr>
        <w:drawing>
          <wp:inline distT="0" distB="0" distL="0" distR="0">
            <wp:extent cx="4683125" cy="280681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C0B4D" w:rsidRPr="00BE20A7" w:rsidRDefault="00EC0B4D" w:rsidP="00EC0B4D">
      <w:pPr>
        <w:pStyle w:val="Prrafodelista"/>
        <w:spacing w:line="360" w:lineRule="auto"/>
        <w:ind w:left="0"/>
        <w:jc w:val="both"/>
        <w:rPr>
          <w:sz w:val="20"/>
          <w:lang w:val="es-ES_tradnl"/>
        </w:rPr>
      </w:pPr>
      <w:r w:rsidRPr="00BE20A7">
        <w:rPr>
          <w:sz w:val="20"/>
          <w:lang w:val="es-ES_tradnl"/>
        </w:rPr>
        <w:t>Fuente: elaboración propia a partir de información proporcionada</w:t>
      </w:r>
    </w:p>
    <w:p w:rsidR="00EC0B4D" w:rsidRPr="00281AE8" w:rsidRDefault="007751C0" w:rsidP="00281AE8">
      <w:pPr>
        <w:pStyle w:val="Prrafodelista"/>
        <w:pBdr>
          <w:bottom w:val="single" w:sz="4" w:space="1" w:color="auto"/>
        </w:pBdr>
        <w:spacing w:line="360" w:lineRule="auto"/>
        <w:ind w:left="0"/>
        <w:jc w:val="both"/>
        <w:rPr>
          <w:sz w:val="20"/>
          <w:lang w:val="es-ES_tradnl"/>
        </w:rPr>
      </w:pPr>
      <w:r>
        <w:rPr>
          <w:sz w:val="20"/>
          <w:lang w:val="es-ES_tradnl"/>
        </w:rPr>
        <w:t xml:space="preserve">Nota </w:t>
      </w:r>
      <w:r w:rsidR="00EC0B4D" w:rsidRPr="00BE20A7">
        <w:rPr>
          <w:sz w:val="20"/>
          <w:lang w:val="es-ES_tradnl"/>
        </w:rPr>
        <w:t xml:space="preserve">explicativa de la gráfica: Eje vertical, número de personas con discapacidad empleadas en municipios de menos de 20.000 habitantes y número de personas empleadas en municipios de más de 20.000 habitantes. Eje horizontal, división de los </w:t>
      </w:r>
      <w:r w:rsidR="00A95742">
        <w:rPr>
          <w:sz w:val="20"/>
          <w:lang w:val="es-ES_tradnl"/>
        </w:rPr>
        <w:t>CEEs</w:t>
      </w:r>
      <w:r w:rsidR="00EC0B4D" w:rsidRPr="00BE20A7">
        <w:rPr>
          <w:sz w:val="20"/>
          <w:lang w:val="es-ES_tradnl"/>
        </w:rPr>
        <w:t xml:space="preserve"> por estructura de la propiedad.</w:t>
      </w:r>
    </w:p>
    <w:p w:rsidR="00EC0B4D" w:rsidRPr="00BE20A7" w:rsidRDefault="00EC0B4D" w:rsidP="00281AE8">
      <w:pPr>
        <w:pStyle w:val="Ttulo3"/>
        <w:rPr>
          <w:lang w:val="es-ES_tradnl"/>
        </w:rPr>
      </w:pPr>
      <w:bookmarkStart w:id="238" w:name="_Toc410916883"/>
      <w:r w:rsidRPr="00BE20A7">
        <w:rPr>
          <w:szCs w:val="24"/>
          <w:lang w:val="es-ES_tradnl"/>
        </w:rPr>
        <w:t>Evolución del empleo de personas con discapacidad durante el periodo 2011-2013</w:t>
      </w:r>
      <w:bookmarkEnd w:id="238"/>
    </w:p>
    <w:p w:rsidR="00EC0B4D" w:rsidRPr="00BE20A7" w:rsidRDefault="00EC0B4D" w:rsidP="00EC0B4D">
      <w:pPr>
        <w:pStyle w:val="Prrafodelista"/>
        <w:spacing w:line="360" w:lineRule="auto"/>
        <w:ind w:left="0"/>
        <w:jc w:val="both"/>
        <w:rPr>
          <w:sz w:val="24"/>
          <w:szCs w:val="24"/>
          <w:lang w:val="es-ES_tradnl"/>
        </w:rPr>
      </w:pPr>
    </w:p>
    <w:p w:rsidR="00EC0B4D" w:rsidRDefault="00EC0B4D" w:rsidP="00EC0B4D">
      <w:pPr>
        <w:pStyle w:val="Prrafodelista"/>
        <w:spacing w:line="360" w:lineRule="auto"/>
        <w:ind w:left="0"/>
        <w:rPr>
          <w:sz w:val="24"/>
          <w:szCs w:val="24"/>
          <w:lang w:val="es-ES_tradnl"/>
        </w:rPr>
      </w:pPr>
      <w:r w:rsidRPr="00BE20A7">
        <w:rPr>
          <w:sz w:val="24"/>
          <w:szCs w:val="24"/>
          <w:lang w:val="es-ES_tradnl"/>
        </w:rPr>
        <w:t xml:space="preserve">El número total de personas con discapacidad empleadas en los </w:t>
      </w:r>
      <w:r w:rsidR="00263316">
        <w:rPr>
          <w:sz w:val="24"/>
          <w:szCs w:val="24"/>
          <w:lang w:val="es-ES_tradnl"/>
        </w:rPr>
        <w:t>CEEs</w:t>
      </w:r>
      <w:r w:rsidRPr="00BE20A7">
        <w:rPr>
          <w:sz w:val="24"/>
          <w:szCs w:val="24"/>
          <w:lang w:val="es-ES_tradnl"/>
        </w:rPr>
        <w:t xml:space="preserve"> de Castilla y León aumentó entre los años 2012 y 2013. Ese aumento se mantiene si hablamos de emple</w:t>
      </w:r>
      <w:r w:rsidR="00F72EDA">
        <w:rPr>
          <w:sz w:val="24"/>
          <w:szCs w:val="24"/>
          <w:lang w:val="es-ES_tradnl"/>
        </w:rPr>
        <w:t>ados con especiales dificultades</w:t>
      </w:r>
      <w:r w:rsidRPr="00BE20A7">
        <w:rPr>
          <w:sz w:val="24"/>
          <w:szCs w:val="24"/>
          <w:lang w:val="es-ES_tradnl"/>
        </w:rPr>
        <w:t>, empleados con discapacidad con contrato indefinido, mujeres con discapacidad, personas con discapacidad en edades de más difícil acceso al mercado laboral, y personas con discapacidad sin estudios o con estudios básicos</w:t>
      </w:r>
      <w:r>
        <w:rPr>
          <w:sz w:val="24"/>
          <w:szCs w:val="24"/>
          <w:lang w:val="es-ES_tradnl"/>
        </w:rPr>
        <w:t>.</w:t>
      </w:r>
    </w:p>
    <w:p w:rsidR="008B0623" w:rsidRDefault="008B0623" w:rsidP="00EC0B4D">
      <w:pPr>
        <w:pStyle w:val="Prrafodelista"/>
        <w:spacing w:line="360" w:lineRule="auto"/>
        <w:ind w:left="0"/>
        <w:rPr>
          <w:sz w:val="24"/>
          <w:szCs w:val="24"/>
          <w:lang w:val="es-ES_tradnl"/>
        </w:rPr>
      </w:pPr>
    </w:p>
    <w:tbl>
      <w:tblPr>
        <w:tblW w:w="8598" w:type="dxa"/>
        <w:tblBorders>
          <w:insideH w:val="single" w:sz="4" w:space="0" w:color="auto"/>
        </w:tblBorders>
        <w:tblLook w:val="04A0"/>
      </w:tblPr>
      <w:tblGrid>
        <w:gridCol w:w="2257"/>
        <w:gridCol w:w="2104"/>
        <w:gridCol w:w="2104"/>
        <w:gridCol w:w="2133"/>
      </w:tblGrid>
      <w:tr w:rsidR="00EC0B4D" w:rsidRPr="00BE20A7" w:rsidTr="00F60176">
        <w:trPr>
          <w:trHeight w:val="559"/>
        </w:trPr>
        <w:tc>
          <w:tcPr>
            <w:tcW w:w="2257" w:type="dxa"/>
          </w:tcPr>
          <w:p w:rsidR="00EC0B4D" w:rsidRPr="00BE20A7" w:rsidRDefault="00EC0B4D" w:rsidP="00EC0B4D">
            <w:pPr>
              <w:pStyle w:val="Prrafodelista"/>
              <w:spacing w:before="360" w:line="360" w:lineRule="auto"/>
              <w:ind w:left="0"/>
              <w:rPr>
                <w:lang w:val="es-ES_tradnl"/>
              </w:rPr>
            </w:pPr>
          </w:p>
        </w:tc>
        <w:tc>
          <w:tcPr>
            <w:tcW w:w="2104" w:type="dxa"/>
          </w:tcPr>
          <w:p w:rsidR="00EC0B4D" w:rsidRPr="00BE20A7" w:rsidRDefault="00EC0B4D" w:rsidP="00EC0B4D">
            <w:pPr>
              <w:pStyle w:val="Prrafodelista"/>
              <w:spacing w:before="360" w:line="360" w:lineRule="auto"/>
              <w:ind w:left="0"/>
              <w:jc w:val="center"/>
              <w:rPr>
                <w:b/>
                <w:lang w:val="es-ES_tradnl"/>
              </w:rPr>
            </w:pPr>
            <w:r w:rsidRPr="00BE20A7">
              <w:rPr>
                <w:b/>
                <w:lang w:val="es-ES_tradnl"/>
              </w:rPr>
              <w:t>2011</w:t>
            </w:r>
          </w:p>
        </w:tc>
        <w:tc>
          <w:tcPr>
            <w:tcW w:w="2104" w:type="dxa"/>
          </w:tcPr>
          <w:p w:rsidR="00EC0B4D" w:rsidRPr="00BE20A7" w:rsidRDefault="00EC0B4D" w:rsidP="00EC0B4D">
            <w:pPr>
              <w:pStyle w:val="Prrafodelista"/>
              <w:spacing w:before="360" w:line="360" w:lineRule="auto"/>
              <w:ind w:left="0"/>
              <w:jc w:val="center"/>
              <w:rPr>
                <w:b/>
                <w:lang w:val="es-ES_tradnl"/>
              </w:rPr>
            </w:pPr>
            <w:r w:rsidRPr="00BE20A7">
              <w:rPr>
                <w:b/>
                <w:lang w:val="es-ES_tradnl"/>
              </w:rPr>
              <w:t>2012</w:t>
            </w:r>
          </w:p>
        </w:tc>
        <w:tc>
          <w:tcPr>
            <w:tcW w:w="2133" w:type="dxa"/>
          </w:tcPr>
          <w:p w:rsidR="00EC0B4D" w:rsidRPr="00BE20A7" w:rsidRDefault="00EC0B4D" w:rsidP="00EC0B4D">
            <w:pPr>
              <w:pStyle w:val="Prrafodelista"/>
              <w:spacing w:before="360" w:line="360" w:lineRule="auto"/>
              <w:ind w:left="0"/>
              <w:jc w:val="center"/>
              <w:rPr>
                <w:b/>
                <w:lang w:val="es-ES_tradnl"/>
              </w:rPr>
            </w:pPr>
            <w:r w:rsidRPr="00BE20A7">
              <w:rPr>
                <w:b/>
                <w:lang w:val="es-ES_tradnl"/>
              </w:rPr>
              <w:t>2013</w:t>
            </w:r>
          </w:p>
        </w:tc>
      </w:tr>
      <w:tr w:rsidR="00EC0B4D" w:rsidRPr="00BE20A7" w:rsidTr="00F60176">
        <w:tc>
          <w:tcPr>
            <w:tcW w:w="2257" w:type="dxa"/>
          </w:tcPr>
          <w:p w:rsidR="00EC0B4D" w:rsidRPr="00837065" w:rsidRDefault="00EC0B4D" w:rsidP="00EC0B4D">
            <w:pPr>
              <w:pStyle w:val="Prrafodelista"/>
              <w:spacing w:before="360" w:line="360" w:lineRule="auto"/>
              <w:ind w:left="0"/>
              <w:rPr>
                <w:b/>
                <w:lang w:val="es-ES_tradnl"/>
              </w:rPr>
            </w:pPr>
            <w:r w:rsidRPr="00837065">
              <w:rPr>
                <w:b/>
                <w:lang w:val="es-ES_tradnl"/>
              </w:rPr>
              <w:t xml:space="preserve">Número de PCD </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4108</w:t>
            </w:r>
          </w:p>
        </w:tc>
        <w:tc>
          <w:tcPr>
            <w:tcW w:w="2104" w:type="dxa"/>
          </w:tcPr>
          <w:p w:rsidR="00F60176" w:rsidRDefault="00AC67C0" w:rsidP="00EC0B4D">
            <w:pPr>
              <w:pStyle w:val="Prrafodelista"/>
              <w:spacing w:before="360" w:line="360" w:lineRule="auto"/>
              <w:ind w:left="0"/>
              <w:jc w:val="center"/>
              <w:rPr>
                <w:sz w:val="28"/>
                <w:szCs w:val="28"/>
                <w:lang w:val="es-ES_tradnl"/>
              </w:rPr>
            </w:pPr>
            <w:r>
              <w:rPr>
                <w:noProof/>
                <w:sz w:val="28"/>
                <w:szCs w:val="28"/>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47" type="#_x0000_t13" style="position:absolute;left:0;text-align:left;margin-left:-17.1pt;margin-top:24.8pt;width:26.25pt;height:16.5pt;rotation:201065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" fillcolor="#c00000" stroked="f"/>
              </w:pict>
            </w:r>
            <w:r>
              <w:rPr>
                <w:noProof/>
                <w:sz w:val="28"/>
                <w:szCs w:val="28"/>
                <w:lang w:eastAsia="es-ES"/>
              </w:rPr>
              <w:pict>
                <v:shape id="AutoShape 4" o:spid="_x0000_s1046" type="#_x0000_t13" style="position:absolute;left:0;text-align:left;margin-left:87.05pt;margin-top:24.7pt;width:26.25pt;height:16.5pt;rotation:-197153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" fillcolor="#9bbb59" stroked="f"/>
              </w:pict>
            </w: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3873</w:t>
            </w:r>
          </w:p>
        </w:tc>
        <w:tc>
          <w:tcPr>
            <w:tcW w:w="2133" w:type="dxa"/>
          </w:tcPr>
          <w:p w:rsidR="00F60176" w:rsidRDefault="00F60176" w:rsidP="00EC0B4D">
            <w:pPr>
              <w:pStyle w:val="Prrafodelista"/>
              <w:spacing w:before="360" w:line="360" w:lineRule="auto"/>
              <w:ind w:left="0" w:firstLine="708"/>
              <w:jc w:val="center"/>
              <w:rPr>
                <w:sz w:val="28"/>
                <w:szCs w:val="28"/>
                <w:lang w:val="es-ES_tradnl"/>
              </w:rPr>
            </w:pPr>
          </w:p>
          <w:p w:rsidR="00EC0B4D" w:rsidRPr="00BE20A7" w:rsidRDefault="00EC0B4D" w:rsidP="00842404">
            <w:pPr>
              <w:pStyle w:val="Prrafodelista"/>
              <w:spacing w:before="360" w:line="360" w:lineRule="auto"/>
              <w:ind w:left="0" w:firstLine="708"/>
              <w:rPr>
                <w:sz w:val="28"/>
                <w:szCs w:val="28"/>
                <w:lang w:val="es-ES_tradnl"/>
              </w:rPr>
            </w:pPr>
            <w:r w:rsidRPr="00BE20A7">
              <w:rPr>
                <w:sz w:val="28"/>
                <w:szCs w:val="28"/>
                <w:lang w:val="es-ES_tradnl"/>
              </w:rPr>
              <w:t>4028</w:t>
            </w:r>
            <w:r w:rsidR="00E32267">
              <w:rPr>
                <w:sz w:val="28"/>
                <w:szCs w:val="28"/>
                <w:lang w:val="es-ES_tradnl"/>
              </w:rPr>
              <w:t xml:space="preserve"> </w:t>
            </w:r>
          </w:p>
        </w:tc>
      </w:tr>
      <w:tr w:rsidR="00EC0B4D" w:rsidRPr="00BE20A7" w:rsidTr="00F60176">
        <w:tc>
          <w:tcPr>
            <w:tcW w:w="2257" w:type="dxa"/>
          </w:tcPr>
          <w:p w:rsidR="00EC0B4D" w:rsidRPr="00837065" w:rsidRDefault="00EC0B4D" w:rsidP="00F72EDA">
            <w:pPr>
              <w:pStyle w:val="Prrafodelista"/>
              <w:spacing w:before="360" w:line="360" w:lineRule="auto"/>
              <w:ind w:left="0"/>
              <w:rPr>
                <w:b/>
                <w:lang w:val="es-ES_tradnl"/>
              </w:rPr>
            </w:pPr>
            <w:r w:rsidRPr="00837065">
              <w:rPr>
                <w:b/>
                <w:lang w:val="es-ES_tradnl"/>
              </w:rPr>
              <w:t xml:space="preserve">Número de PCD con </w:t>
            </w:r>
            <w:r w:rsidR="00F72EDA">
              <w:rPr>
                <w:b/>
                <w:lang w:val="es-ES_tradnl"/>
              </w:rPr>
              <w:t>especiales dificultades</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2073</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11" o:spid="_x0000_s1045" type="#_x0000_t13" style="position:absolute;left:0;text-align:left;margin-left:-17.85pt;margin-top:6.15pt;width:26.25pt;height:16.5pt;rotation:201065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" fillcolor="#c00000" stroked="f"/>
              </w:pict>
            </w:r>
            <w:r w:rsidR="00EC0B4D" w:rsidRPr="00BE20A7">
              <w:rPr>
                <w:sz w:val="28"/>
                <w:szCs w:val="28"/>
                <w:lang w:val="es-ES_tradnl"/>
              </w:rPr>
              <w:t>1860</w:t>
            </w:r>
          </w:p>
        </w:tc>
        <w:tc>
          <w:tcPr>
            <w:tcW w:w="2133"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6" o:spid="_x0000_s1044" type="#_x0000_t13" style="position:absolute;left:0;text-align:left;margin-left:-14.85pt;margin-top:6.65pt;width:26.25pt;height:16.5pt;rotation:-197153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" fillcolor="#9bbb59" stroked="f"/>
              </w:pict>
            </w:r>
            <w:r w:rsidR="00EC0B4D" w:rsidRPr="00BE20A7">
              <w:rPr>
                <w:sz w:val="28"/>
                <w:szCs w:val="28"/>
                <w:lang w:val="es-ES_tradnl"/>
              </w:rPr>
              <w:t>1944</w:t>
            </w:r>
          </w:p>
        </w:tc>
      </w:tr>
      <w:tr w:rsidR="00EC0B4D" w:rsidRPr="00BE20A7" w:rsidTr="00F60176">
        <w:tc>
          <w:tcPr>
            <w:tcW w:w="2257" w:type="dxa"/>
          </w:tcPr>
          <w:p w:rsidR="00EC0B4D" w:rsidRPr="00837065" w:rsidRDefault="00EC0B4D" w:rsidP="00EC0B4D">
            <w:pPr>
              <w:pStyle w:val="Prrafodelista"/>
              <w:spacing w:before="360" w:line="360" w:lineRule="auto"/>
              <w:ind w:left="0"/>
              <w:rPr>
                <w:b/>
                <w:lang w:val="es-ES_tradnl"/>
              </w:rPr>
            </w:pPr>
            <w:r w:rsidRPr="00837065">
              <w:rPr>
                <w:b/>
                <w:lang w:val="es-ES_tradnl"/>
              </w:rPr>
              <w:t xml:space="preserve">Número de PCD con contrato indefinido </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14" o:spid="_x0000_s1043" type="#_x0000_t13" style="position:absolute;left:0;text-align:left;margin-left:88.15pt;margin-top:1.3pt;width:26.25pt;height:16.5pt;rotation:-197153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" fillcolor="#9bbb59" stroked="f"/>
              </w:pict>
            </w:r>
            <w:r w:rsidR="00EC0B4D" w:rsidRPr="00BE20A7">
              <w:rPr>
                <w:sz w:val="28"/>
                <w:szCs w:val="28"/>
                <w:lang w:val="es-ES_tradnl"/>
              </w:rPr>
              <w:t>2625</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2670</w:t>
            </w:r>
          </w:p>
        </w:tc>
        <w:tc>
          <w:tcPr>
            <w:tcW w:w="2133" w:type="dxa"/>
          </w:tcPr>
          <w:p w:rsidR="00F60176"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5" o:spid="_x0000_s1042" type="#_x0000_t13" style="position:absolute;left:0;text-align:left;margin-left:-15.6pt;margin-top:25.45pt;width:26.25pt;height:16.5pt;rotation:-197153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" fillcolor="#9bbb59" stroked="f"/>
              </w:pict>
            </w: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2680</w:t>
            </w:r>
          </w:p>
        </w:tc>
      </w:tr>
      <w:tr w:rsidR="00EC0B4D" w:rsidRPr="00BE20A7" w:rsidTr="00F60176">
        <w:tc>
          <w:tcPr>
            <w:tcW w:w="2257" w:type="dxa"/>
          </w:tcPr>
          <w:p w:rsidR="00EC0B4D" w:rsidRPr="00837065" w:rsidRDefault="00EC0B4D" w:rsidP="00EC0B4D">
            <w:pPr>
              <w:pStyle w:val="Prrafodelista"/>
              <w:spacing w:before="360" w:line="360" w:lineRule="auto"/>
              <w:ind w:left="0"/>
              <w:rPr>
                <w:b/>
                <w:lang w:val="es-ES_tradnl"/>
              </w:rPr>
            </w:pPr>
            <w:r w:rsidRPr="00837065">
              <w:rPr>
                <w:b/>
                <w:lang w:val="es-ES_tradnl"/>
              </w:rPr>
              <w:t>Número de mujeres con discapacidad</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1652</w:t>
            </w:r>
          </w:p>
        </w:tc>
        <w:tc>
          <w:tcPr>
            <w:tcW w:w="2104" w:type="dxa"/>
          </w:tcPr>
          <w:p w:rsidR="00F60176"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12" o:spid="_x0000_s1041" type="#_x0000_t13" style="position:absolute;left:0;text-align:left;margin-left:-17.05pt;margin-top:25.55pt;width:26.25pt;height:16.5pt;rotation:201065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" fillcolor="#c00000" stroked="f"/>
              </w:pict>
            </w: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1528</w:t>
            </w:r>
          </w:p>
        </w:tc>
        <w:tc>
          <w:tcPr>
            <w:tcW w:w="2133" w:type="dxa"/>
          </w:tcPr>
          <w:p w:rsidR="00F60176"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7" o:spid="_x0000_s1040" type="#_x0000_t13" style="position:absolute;left:0;text-align:left;margin-left:-15.6pt;margin-top:23.65pt;width:26.25pt;height:16.5pt;rotation:-197153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" fillcolor="#9bbb59" stroked="f"/>
              </w:pict>
            </w: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1595</w:t>
            </w:r>
          </w:p>
        </w:tc>
      </w:tr>
      <w:tr w:rsidR="00EC0B4D" w:rsidRPr="00BE20A7" w:rsidTr="00F60176">
        <w:tc>
          <w:tcPr>
            <w:tcW w:w="2257" w:type="dxa"/>
          </w:tcPr>
          <w:p w:rsidR="00EC0B4D" w:rsidRPr="00837065" w:rsidRDefault="00EC0B4D" w:rsidP="00EC0B4D">
            <w:pPr>
              <w:pStyle w:val="Prrafodelista"/>
              <w:spacing w:before="360" w:line="360" w:lineRule="auto"/>
              <w:ind w:left="0"/>
              <w:rPr>
                <w:b/>
                <w:lang w:val="es-ES_tradnl"/>
              </w:rPr>
            </w:pPr>
            <w:r w:rsidRPr="00837065">
              <w:rPr>
                <w:b/>
                <w:lang w:val="es-ES_tradnl"/>
              </w:rPr>
              <w:t xml:space="preserve">Número de PCD en edades de más difícil acceso al mercado laboral </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15" o:spid="_x0000_s1039" type="#_x0000_t13" style="position:absolute;left:0;text-align:left;margin-left:87.4pt;margin-top:6.35pt;width:26.25pt;height:16.5pt;rotation:-19715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" fillcolor="#9bbb59" stroked="f"/>
              </w:pict>
            </w:r>
            <w:r w:rsidR="00EC0B4D" w:rsidRPr="00BE20A7">
              <w:rPr>
                <w:sz w:val="28"/>
                <w:szCs w:val="28"/>
                <w:lang w:val="es-ES_tradnl"/>
              </w:rPr>
              <w:t>605</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660</w:t>
            </w:r>
          </w:p>
        </w:tc>
        <w:tc>
          <w:tcPr>
            <w:tcW w:w="2133"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8" o:spid="_x0000_s1038" type="#_x0000_t13" style="position:absolute;left:0;text-align:left;margin-left:-14.85pt;margin-top:6.35pt;width:26.25pt;height:16.5pt;rotation:-197153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" fillcolor="#9bbb59" stroked="f"/>
              </w:pict>
            </w:r>
            <w:r w:rsidR="00EC0B4D" w:rsidRPr="00BE20A7">
              <w:rPr>
                <w:sz w:val="28"/>
                <w:szCs w:val="28"/>
                <w:lang w:val="es-ES_tradnl"/>
              </w:rPr>
              <w:t>1946</w:t>
            </w:r>
          </w:p>
        </w:tc>
      </w:tr>
      <w:tr w:rsidR="00EC0B4D" w:rsidRPr="00BE20A7" w:rsidTr="00F60176">
        <w:tc>
          <w:tcPr>
            <w:tcW w:w="2257" w:type="dxa"/>
          </w:tcPr>
          <w:p w:rsidR="00EC0B4D" w:rsidRDefault="00EC0B4D" w:rsidP="00EC0B4D">
            <w:pPr>
              <w:pStyle w:val="Prrafodelista"/>
              <w:spacing w:before="360" w:line="360" w:lineRule="auto"/>
              <w:ind w:left="0"/>
              <w:rPr>
                <w:b/>
                <w:lang w:val="es-ES_tradnl"/>
              </w:rPr>
            </w:pPr>
            <w:r w:rsidRPr="00837065">
              <w:rPr>
                <w:b/>
                <w:lang w:val="es-ES_tradnl"/>
              </w:rPr>
              <w:t>Número de PCD sin estudios o con estudios básicos</w:t>
            </w:r>
          </w:p>
          <w:p w:rsidR="00E32267" w:rsidRPr="00981302" w:rsidRDefault="00E32267" w:rsidP="00EC0B4D">
            <w:pPr>
              <w:pStyle w:val="Prrafodelista"/>
              <w:spacing w:before="360" w:line="360" w:lineRule="auto"/>
              <w:ind w:left="0"/>
              <w:rPr>
                <w:b/>
              </w:rPr>
            </w:pP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13" o:spid="_x0000_s1037" type="#_x0000_t13" style="position:absolute;left:0;text-align:left;margin-left:87.4pt;margin-top:4.8pt;width:26.25pt;height:16.5pt;rotation:201065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" fillcolor="#c00000" stroked="f"/>
              </w:pict>
            </w:r>
            <w:r w:rsidR="00EC0B4D" w:rsidRPr="00BE20A7">
              <w:rPr>
                <w:sz w:val="28"/>
                <w:szCs w:val="28"/>
                <w:lang w:val="es-ES_tradnl"/>
              </w:rPr>
              <w:t>3200</w:t>
            </w:r>
          </w:p>
        </w:tc>
        <w:tc>
          <w:tcPr>
            <w:tcW w:w="2104" w:type="dxa"/>
          </w:tcPr>
          <w:p w:rsidR="00F60176" w:rsidRDefault="00F60176" w:rsidP="00EC0B4D">
            <w:pPr>
              <w:pStyle w:val="Prrafodelista"/>
              <w:spacing w:before="360" w:line="360" w:lineRule="auto"/>
              <w:ind w:left="0"/>
              <w:jc w:val="center"/>
              <w:rPr>
                <w:sz w:val="28"/>
                <w:szCs w:val="28"/>
                <w:lang w:val="es-ES_tradnl"/>
              </w:rPr>
            </w:pP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3087</w:t>
            </w:r>
          </w:p>
        </w:tc>
        <w:tc>
          <w:tcPr>
            <w:tcW w:w="2133" w:type="dxa"/>
          </w:tcPr>
          <w:p w:rsidR="00F60176" w:rsidRDefault="00AC67C0" w:rsidP="00EC0B4D">
            <w:pPr>
              <w:pStyle w:val="Prrafodelista"/>
              <w:spacing w:before="360" w:line="360" w:lineRule="auto"/>
              <w:ind w:left="0"/>
              <w:jc w:val="center"/>
              <w:rPr>
                <w:sz w:val="28"/>
                <w:szCs w:val="28"/>
                <w:lang w:val="es-ES_tradnl"/>
              </w:rPr>
            </w:pPr>
            <w:r>
              <w:rPr>
                <w:noProof/>
                <w:sz w:val="28"/>
                <w:szCs w:val="28"/>
                <w:lang w:eastAsia="es-ES"/>
              </w:rPr>
              <w:pict>
                <v:shape id="AutoShape 9" o:spid="_x0000_s1036" type="#_x0000_t13" style="position:absolute;left:0;text-align:left;margin-left:-14.85pt;margin-top:29pt;width:26.25pt;height:16.5pt;rotation:-197153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" fillcolor="#9bbb59" stroked="f"/>
              </w:pict>
            </w:r>
          </w:p>
          <w:p w:rsidR="00EC0B4D" w:rsidRPr="00BE20A7" w:rsidRDefault="00EC0B4D" w:rsidP="00EC0B4D">
            <w:pPr>
              <w:pStyle w:val="Prrafodelista"/>
              <w:spacing w:before="360" w:line="360" w:lineRule="auto"/>
              <w:ind w:left="0"/>
              <w:jc w:val="center"/>
              <w:rPr>
                <w:sz w:val="28"/>
                <w:szCs w:val="28"/>
                <w:lang w:val="es-ES_tradnl"/>
              </w:rPr>
            </w:pPr>
            <w:r w:rsidRPr="00BE20A7">
              <w:rPr>
                <w:sz w:val="28"/>
                <w:szCs w:val="28"/>
                <w:lang w:val="es-ES_tradnl"/>
              </w:rPr>
              <w:t>3129</w:t>
            </w:r>
          </w:p>
        </w:tc>
      </w:tr>
    </w:tbl>
    <w:p w:rsidR="00981302" w:rsidRPr="009159E5" w:rsidRDefault="00981302" w:rsidP="00981302">
      <w:pPr>
        <w:spacing w:line="360" w:lineRule="auto"/>
        <w:jc w:val="both"/>
        <w:rPr>
          <w:rFonts w:ascii="MinionPro-Regular" w:hAnsi="MinionPro-Regular" w:cstheme="minorBidi"/>
          <w:sz w:val="20"/>
          <w:szCs w:val="22"/>
        </w:rPr>
      </w:pPr>
      <w:bookmarkStart w:id="239" w:name="_Toc397357144"/>
      <w:bookmarkStart w:id="240" w:name="_Toc397357146"/>
      <w:r w:rsidRPr="009159E5">
        <w:rPr>
          <w:rFonts w:ascii="MinionPro-Regular" w:hAnsi="MinionPro-Regular" w:cstheme="minorBidi"/>
          <w:sz w:val="20"/>
          <w:szCs w:val="22"/>
        </w:rPr>
        <w:t>Fuente: elaboración propia</w:t>
      </w:r>
    </w:p>
    <w:p w:rsidR="00981302" w:rsidRPr="009159E5" w:rsidRDefault="00981302" w:rsidP="00981302">
      <w:pPr>
        <w:pBdr>
          <w:bottom w:val="single" w:sz="4" w:space="1" w:color="auto"/>
        </w:pBdr>
        <w:spacing w:line="360" w:lineRule="auto"/>
        <w:jc w:val="both"/>
        <w:rPr>
          <w:sz w:val="20"/>
        </w:rPr>
      </w:pPr>
      <w:r>
        <w:rPr>
          <w:sz w:val="20"/>
        </w:rPr>
        <w:t xml:space="preserve">Nota explicativa de la tabla: </w:t>
      </w:r>
      <w:r w:rsidRPr="009159E5">
        <w:rPr>
          <w:sz w:val="20"/>
        </w:rPr>
        <w:t>Evolución</w:t>
      </w:r>
      <w:r>
        <w:rPr>
          <w:sz w:val="20"/>
        </w:rPr>
        <w:t xml:space="preserve"> de 2011 a 2013</w:t>
      </w:r>
      <w:r w:rsidRPr="009159E5">
        <w:rPr>
          <w:sz w:val="20"/>
        </w:rPr>
        <w:t xml:space="preserve"> en el número de personas con discapacidad de diferentes colectivos </w:t>
      </w:r>
      <w:r>
        <w:rPr>
          <w:sz w:val="20"/>
        </w:rPr>
        <w:t>empleadas en los CEEs de Castilla y León analizados</w:t>
      </w:r>
      <w:r w:rsidRPr="009159E5">
        <w:rPr>
          <w:sz w:val="20"/>
        </w:rPr>
        <w:t>. Eje vertical:</w:t>
      </w:r>
      <w:r>
        <w:rPr>
          <w:sz w:val="20"/>
        </w:rPr>
        <w:t xml:space="preserve"> colectivo. Eje horizontal años: nú</w:t>
      </w:r>
      <w:r w:rsidRPr="009159E5">
        <w:rPr>
          <w:sz w:val="20"/>
        </w:rPr>
        <w:t>mero de PCD en 2011 (4108), en 2012 (3873) y en 2013 (4028)</w:t>
      </w:r>
      <w:r>
        <w:rPr>
          <w:sz w:val="20"/>
        </w:rPr>
        <w:t xml:space="preserve">; número de PCD con especiales dificultades en 2011 (2073), en 2012 (1860) y en 2013 (1944); </w:t>
      </w:r>
      <w:r w:rsidRPr="009159E5">
        <w:rPr>
          <w:sz w:val="20"/>
        </w:rPr>
        <w:t>)</w:t>
      </w:r>
      <w:r>
        <w:rPr>
          <w:sz w:val="20"/>
        </w:rPr>
        <w:t xml:space="preserve">; número de PCD con contrato indefinido en 2011 (2625), en 2012 (2670) y en 2013 (2680); número de mujeres con discapacidad en 2011 (1652), en 2012 (1528) y en 2013 (1595); </w:t>
      </w:r>
      <w:r w:rsidRPr="009159E5">
        <w:rPr>
          <w:sz w:val="20"/>
        </w:rPr>
        <w:t>)</w:t>
      </w:r>
      <w:r>
        <w:rPr>
          <w:sz w:val="20"/>
        </w:rPr>
        <w:t>; número de PCD en edad de más difícil inserción al mercado laboral en 2011 (605), en 2012 (660) y en 2013 (1946); número de PCD sin estudios o con estudios básicos en 2011 (3200), en 2012 (3087) y en 2013 (3129).</w:t>
      </w:r>
    </w:p>
    <w:p w:rsidR="00981302" w:rsidRPr="00981302" w:rsidRDefault="00981302" w:rsidP="00981302"/>
    <w:p w:rsidR="00A53340" w:rsidRDefault="00A53340" w:rsidP="00A53340">
      <w:pPr>
        <w:pStyle w:val="Ttulo3"/>
        <w:rPr>
          <w:lang w:val="es-ES_tradnl"/>
        </w:rPr>
      </w:pPr>
      <w:bookmarkStart w:id="241" w:name="_Toc410916884"/>
      <w:r>
        <w:rPr>
          <w:lang w:val="es-ES_tradnl"/>
        </w:rPr>
        <w:t xml:space="preserve">El impacto social no cuantificable de los </w:t>
      </w:r>
      <w:bookmarkEnd w:id="239"/>
      <w:r w:rsidR="00C91925">
        <w:rPr>
          <w:lang w:val="es-ES_tradnl"/>
        </w:rPr>
        <w:t>Centros</w:t>
      </w:r>
      <w:r w:rsidR="00263316">
        <w:rPr>
          <w:lang w:val="es-ES_tradnl"/>
        </w:rPr>
        <w:t xml:space="preserve"> Especiales de Empleo</w:t>
      </w:r>
      <w:bookmarkEnd w:id="241"/>
    </w:p>
    <w:p w:rsidR="00A53340" w:rsidRPr="00BE20A7" w:rsidRDefault="00A53340" w:rsidP="00A53340">
      <w:pPr>
        <w:rPr>
          <w:b/>
          <w:sz w:val="28"/>
          <w:szCs w:val="28"/>
          <w:lang w:val="es-ES_tradnl"/>
        </w:rPr>
      </w:pPr>
    </w:p>
    <w:p w:rsidR="00A53340" w:rsidRPr="00BE20A7" w:rsidRDefault="00A53340" w:rsidP="00A53340">
      <w:pPr>
        <w:autoSpaceDE w:val="0"/>
        <w:autoSpaceDN w:val="0"/>
        <w:spacing w:line="360" w:lineRule="auto"/>
        <w:jc w:val="both"/>
        <w:rPr>
          <w:sz w:val="24"/>
          <w:szCs w:val="24"/>
          <w:lang w:val="es-ES_tradnl"/>
        </w:rPr>
      </w:pPr>
      <w:r w:rsidRPr="00BE20A7">
        <w:rPr>
          <w:sz w:val="24"/>
          <w:szCs w:val="24"/>
          <w:lang w:val="es-ES_tradnl"/>
        </w:rPr>
        <w:t>El hecho de que las personas con discapacidad estén integradas en el mercado laboral supone un valor añadido para la sociedad en su conjunto que</w:t>
      </w:r>
      <w:r>
        <w:rPr>
          <w:sz w:val="24"/>
          <w:szCs w:val="24"/>
          <w:lang w:val="es-ES_tradnl"/>
        </w:rPr>
        <w:t>, en determinados aspectos</w:t>
      </w:r>
      <w:r w:rsidRPr="007274F6">
        <w:rPr>
          <w:sz w:val="24"/>
          <w:szCs w:val="24"/>
          <w:lang w:val="es-ES_tradnl"/>
        </w:rPr>
        <w:t xml:space="preserve"> </w:t>
      </w:r>
      <w:r w:rsidRPr="00BE20A7">
        <w:rPr>
          <w:sz w:val="24"/>
          <w:szCs w:val="24"/>
          <w:lang w:val="es-ES_tradnl"/>
        </w:rPr>
        <w:t>como la autoestima y la satisfacción del trabajador o el bienestar de las familias</w:t>
      </w:r>
      <w:r>
        <w:rPr>
          <w:sz w:val="24"/>
          <w:szCs w:val="24"/>
          <w:lang w:val="es-ES_tradnl"/>
        </w:rPr>
        <w:t>,</w:t>
      </w:r>
      <w:r w:rsidRPr="00BE20A7">
        <w:rPr>
          <w:sz w:val="24"/>
          <w:szCs w:val="24"/>
          <w:lang w:val="es-ES_tradnl"/>
        </w:rPr>
        <w:t xml:space="preserve"> es difícil de cuantificar.</w:t>
      </w:r>
    </w:p>
    <w:p w:rsidR="00A53340" w:rsidRPr="00BE20A7" w:rsidRDefault="00A53340" w:rsidP="00A53340">
      <w:pPr>
        <w:autoSpaceDE w:val="0"/>
        <w:autoSpaceDN w:val="0"/>
        <w:spacing w:line="360" w:lineRule="auto"/>
        <w:jc w:val="both"/>
        <w:rPr>
          <w:sz w:val="24"/>
          <w:szCs w:val="24"/>
          <w:lang w:val="es-ES_tradnl"/>
        </w:rPr>
      </w:pPr>
    </w:p>
    <w:p w:rsidR="00A53340" w:rsidRDefault="00A53340" w:rsidP="009B2D94">
      <w:pPr>
        <w:pStyle w:val="Prrafodelista"/>
        <w:spacing w:line="360" w:lineRule="auto"/>
        <w:ind w:left="0"/>
        <w:rPr>
          <w:sz w:val="24"/>
          <w:szCs w:val="24"/>
        </w:rPr>
      </w:pPr>
      <w:r w:rsidRPr="00BE20A7">
        <w:rPr>
          <w:sz w:val="24"/>
          <w:szCs w:val="24"/>
          <w:lang w:val="es-ES_tradnl"/>
        </w:rPr>
        <w:t xml:space="preserve">Con el objetivo de capturar el valor añadido en lo relativo a calidad de vida, mejoras en el ámbito familiar, y la inclusión social, </w:t>
      </w:r>
      <w:r w:rsidR="0026330D">
        <w:rPr>
          <w:sz w:val="24"/>
          <w:szCs w:val="24"/>
          <w:lang w:val="es-ES_tradnl"/>
        </w:rPr>
        <w:t xml:space="preserve">se </w:t>
      </w:r>
      <w:r w:rsidR="009B2D94">
        <w:rPr>
          <w:sz w:val="24"/>
          <w:szCs w:val="24"/>
          <w:lang w:val="es-ES_tradnl"/>
        </w:rPr>
        <w:t>consultó a los centros</w:t>
      </w:r>
      <w:r w:rsidRPr="00BE20A7">
        <w:rPr>
          <w:sz w:val="24"/>
          <w:szCs w:val="24"/>
          <w:lang w:val="es-ES_tradnl"/>
        </w:rPr>
        <w:t xml:space="preserve"> sobre </w:t>
      </w:r>
      <w:r>
        <w:rPr>
          <w:sz w:val="24"/>
          <w:szCs w:val="24"/>
          <w:lang w:val="es-ES_tradnl"/>
        </w:rPr>
        <w:t>la percepción de los</w:t>
      </w:r>
      <w:r w:rsidRPr="00BE20A7">
        <w:rPr>
          <w:sz w:val="24"/>
          <w:szCs w:val="24"/>
          <w:lang w:val="es-ES_tradnl"/>
        </w:rPr>
        <w:t xml:space="preserve"> beneficios que consideran que aportan al colectivo de las personas con discapacidad, a sus familias y a la sociedad en su conjunto. Este estudio </w:t>
      </w:r>
      <w:r w:rsidR="009B2D94">
        <w:rPr>
          <w:sz w:val="24"/>
          <w:szCs w:val="24"/>
          <w:lang w:val="es-ES_tradnl"/>
        </w:rPr>
        <w:t>de desarrolló</w:t>
      </w:r>
      <w:r w:rsidRPr="00BE20A7">
        <w:rPr>
          <w:sz w:val="24"/>
          <w:szCs w:val="24"/>
          <w:lang w:val="es-ES_tradnl"/>
        </w:rPr>
        <w:t xml:space="preserve"> a través de una </w:t>
      </w:r>
      <w:r w:rsidRPr="00BE20A7">
        <w:rPr>
          <w:sz w:val="24"/>
          <w:szCs w:val="24"/>
        </w:rPr>
        <w:t xml:space="preserve">encuesta enviada </w:t>
      </w:r>
      <w:r w:rsidR="009B2D94">
        <w:rPr>
          <w:sz w:val="24"/>
          <w:szCs w:val="24"/>
        </w:rPr>
        <w:t xml:space="preserve">en julio de 2014 </w:t>
      </w:r>
      <w:r w:rsidRPr="00BE20A7">
        <w:rPr>
          <w:sz w:val="24"/>
          <w:szCs w:val="24"/>
        </w:rPr>
        <w:t xml:space="preserve">a los </w:t>
      </w:r>
      <w:r w:rsidR="00F50AF5">
        <w:rPr>
          <w:sz w:val="24"/>
          <w:szCs w:val="24"/>
        </w:rPr>
        <w:t>gestores de los centros</w:t>
      </w:r>
      <w:r w:rsidRPr="00BE20A7">
        <w:rPr>
          <w:sz w:val="24"/>
          <w:szCs w:val="24"/>
        </w:rPr>
        <w:t xml:space="preserve">, cuyos resultados agregados se presentan a continuación. </w:t>
      </w:r>
    </w:p>
    <w:p w:rsidR="00A53340" w:rsidRDefault="00A53340" w:rsidP="00A53340">
      <w:pPr>
        <w:autoSpaceDE w:val="0"/>
        <w:autoSpaceDN w:val="0"/>
        <w:spacing w:line="360" w:lineRule="auto"/>
        <w:jc w:val="both"/>
        <w:rPr>
          <w:sz w:val="24"/>
          <w:szCs w:val="24"/>
        </w:rPr>
      </w:pPr>
    </w:p>
    <w:p w:rsidR="00A53340" w:rsidRDefault="00A53340" w:rsidP="00A53340">
      <w:pPr>
        <w:autoSpaceDE w:val="0"/>
        <w:autoSpaceDN w:val="0"/>
        <w:spacing w:line="360" w:lineRule="auto"/>
        <w:jc w:val="both"/>
        <w:rPr>
          <w:sz w:val="24"/>
          <w:szCs w:val="24"/>
        </w:rPr>
      </w:pPr>
      <w:r>
        <w:rPr>
          <w:sz w:val="24"/>
          <w:szCs w:val="24"/>
        </w:rPr>
        <w:t xml:space="preserve">De los 188 </w:t>
      </w:r>
      <w:r w:rsidR="00A95742">
        <w:rPr>
          <w:sz w:val="24"/>
          <w:szCs w:val="24"/>
        </w:rPr>
        <w:t>CEEs</w:t>
      </w:r>
      <w:r>
        <w:rPr>
          <w:sz w:val="24"/>
          <w:szCs w:val="24"/>
        </w:rPr>
        <w:t xml:space="preserve"> a los que se envió la encuesta, se </w:t>
      </w:r>
      <w:r w:rsidR="009B2D94">
        <w:rPr>
          <w:sz w:val="24"/>
          <w:szCs w:val="24"/>
        </w:rPr>
        <w:t>recibieron</w:t>
      </w:r>
      <w:r>
        <w:rPr>
          <w:sz w:val="24"/>
          <w:szCs w:val="24"/>
        </w:rPr>
        <w:t xml:space="preserve"> contestaciones de 140 de ellos.</w:t>
      </w:r>
      <w:r w:rsidR="004725D7">
        <w:rPr>
          <w:rStyle w:val="Refdenotaalpie"/>
          <w:sz w:val="24"/>
          <w:szCs w:val="24"/>
        </w:rPr>
        <w:footnoteReference w:id="11"/>
      </w:r>
      <w:r>
        <w:rPr>
          <w:sz w:val="24"/>
          <w:szCs w:val="24"/>
        </w:rPr>
        <w:t xml:space="preserve"> De esos 140, 121 </w:t>
      </w:r>
      <w:r w:rsidR="009B2D94">
        <w:rPr>
          <w:sz w:val="24"/>
          <w:szCs w:val="24"/>
        </w:rPr>
        <w:t xml:space="preserve">completaron </w:t>
      </w:r>
      <w:r>
        <w:rPr>
          <w:sz w:val="24"/>
          <w:szCs w:val="24"/>
        </w:rPr>
        <w:t xml:space="preserve">la encuesta en su totalidad. </w:t>
      </w:r>
    </w:p>
    <w:p w:rsidR="00B347A1" w:rsidRPr="00BE20A7" w:rsidRDefault="00B347A1" w:rsidP="00A53340">
      <w:pPr>
        <w:autoSpaceDE w:val="0"/>
        <w:autoSpaceDN w:val="0"/>
        <w:spacing w:line="360" w:lineRule="auto"/>
        <w:jc w:val="both"/>
        <w:rPr>
          <w:sz w:val="24"/>
          <w:szCs w:val="24"/>
        </w:rPr>
      </w:pPr>
    </w:p>
    <w:p w:rsidR="00A53340" w:rsidRDefault="00A53340" w:rsidP="00A53340">
      <w:pPr>
        <w:autoSpaceDE w:val="0"/>
        <w:autoSpaceDN w:val="0"/>
        <w:spacing w:line="360" w:lineRule="auto"/>
        <w:jc w:val="both"/>
        <w:rPr>
          <w:sz w:val="24"/>
          <w:szCs w:val="24"/>
        </w:rPr>
      </w:pPr>
      <w:r>
        <w:rPr>
          <w:sz w:val="24"/>
          <w:szCs w:val="24"/>
        </w:rPr>
        <w:t>Los</w:t>
      </w:r>
      <w:r w:rsidRPr="00BE20A7">
        <w:rPr>
          <w:sz w:val="24"/>
          <w:szCs w:val="24"/>
        </w:rPr>
        <w:t xml:space="preserve"> resultados apuntan a que el impacto de los </w:t>
      </w:r>
      <w:r w:rsidR="00263316">
        <w:rPr>
          <w:sz w:val="24"/>
          <w:szCs w:val="24"/>
        </w:rPr>
        <w:t>CEEs</w:t>
      </w:r>
      <w:r w:rsidRPr="00BE20A7">
        <w:rPr>
          <w:sz w:val="24"/>
          <w:szCs w:val="24"/>
        </w:rPr>
        <w:t xml:space="preserve"> va más allá de lo cuantificable en un estudio analítico e incumbe no sólo a las personas con discapacidad empleadas s</w:t>
      </w:r>
      <w:r w:rsidR="009B2D94">
        <w:rPr>
          <w:sz w:val="24"/>
          <w:szCs w:val="24"/>
        </w:rPr>
        <w:t>ino también a sus familias y al</w:t>
      </w:r>
      <w:r w:rsidRPr="00BE20A7">
        <w:rPr>
          <w:sz w:val="24"/>
          <w:szCs w:val="24"/>
        </w:rPr>
        <w:t xml:space="preserve"> conjunto de la sociedad.</w:t>
      </w:r>
      <w:r>
        <w:rPr>
          <w:sz w:val="24"/>
          <w:szCs w:val="24"/>
        </w:rPr>
        <w:t xml:space="preserve"> </w:t>
      </w:r>
    </w:p>
    <w:p w:rsidR="0026330D" w:rsidRDefault="0026330D" w:rsidP="00A53340">
      <w:pPr>
        <w:autoSpaceDE w:val="0"/>
        <w:autoSpaceDN w:val="0"/>
        <w:spacing w:line="360" w:lineRule="auto"/>
        <w:jc w:val="both"/>
        <w:rPr>
          <w:sz w:val="24"/>
          <w:szCs w:val="24"/>
        </w:rPr>
      </w:pPr>
    </w:p>
    <w:p w:rsidR="0026330D" w:rsidRPr="00E304A9" w:rsidRDefault="0026330D" w:rsidP="00A53340">
      <w:pPr>
        <w:autoSpaceDE w:val="0"/>
        <w:autoSpaceDN w:val="0"/>
        <w:spacing w:line="360" w:lineRule="auto"/>
        <w:jc w:val="both"/>
        <w:rPr>
          <w:sz w:val="24"/>
          <w:szCs w:val="24"/>
        </w:rPr>
      </w:pPr>
      <w:r>
        <w:rPr>
          <w:sz w:val="24"/>
          <w:szCs w:val="24"/>
        </w:rPr>
        <w:t>A continuación se exponen los resultados de las encuestas, ilustrando, a través de histogramas, la distribución de las respuestas que dieron los gestores para cada uno de los aspectos sobre los que fueron preguntados.</w:t>
      </w:r>
    </w:p>
    <w:p w:rsidR="00A53340" w:rsidRPr="00BE20A7" w:rsidRDefault="00A53340" w:rsidP="00A53340">
      <w:pPr>
        <w:autoSpaceDE w:val="0"/>
        <w:autoSpaceDN w:val="0"/>
        <w:spacing w:line="360" w:lineRule="auto"/>
        <w:jc w:val="both"/>
        <w:rPr>
          <w:sz w:val="24"/>
          <w:szCs w:val="24"/>
        </w:rPr>
      </w:pPr>
    </w:p>
    <w:p w:rsidR="00A53340" w:rsidRPr="004F4483" w:rsidRDefault="00A53340" w:rsidP="00A53340">
      <w:pPr>
        <w:spacing w:line="360" w:lineRule="auto"/>
        <w:rPr>
          <w:b/>
        </w:rPr>
      </w:pPr>
      <w:r w:rsidRPr="004F4483">
        <w:rPr>
          <w:b/>
        </w:rPr>
        <w:t>1. ¿En qué medida cree que el empleo hace más autónomas a las personas con d</w:t>
      </w:r>
      <w:r w:rsidR="00F237AF">
        <w:rPr>
          <w:b/>
        </w:rPr>
        <w:t xml:space="preserve">iscapacidad que trabajan en su </w:t>
      </w:r>
      <w:r w:rsidR="00C931C2">
        <w:rPr>
          <w:b/>
        </w:rPr>
        <w:t>CEE</w:t>
      </w:r>
      <w:r w:rsidRPr="004F4483">
        <w:rPr>
          <w:b/>
        </w:rPr>
        <w:t xml:space="preserve">? </w:t>
      </w:r>
    </w:p>
    <w:p w:rsidR="00A53340" w:rsidRPr="004F4483" w:rsidRDefault="00A53340" w:rsidP="00A53340">
      <w:pPr>
        <w:pBdr>
          <w:bottom w:val="single" w:sz="4" w:space="1" w:color="auto"/>
        </w:pBdr>
        <w:spacing w:line="360" w:lineRule="auto"/>
        <w:rPr>
          <w:i/>
        </w:rPr>
      </w:pPr>
      <w:r w:rsidRPr="004F4483">
        <w:rPr>
          <w:i/>
        </w:rPr>
        <w:t>Respondido: 130    Omitido: 10</w:t>
      </w:r>
    </w:p>
    <w:p w:rsidR="00A53340" w:rsidRPr="004F4483" w:rsidRDefault="00A53340" w:rsidP="00B347A1">
      <w:pPr>
        <w:spacing w:line="360" w:lineRule="auto"/>
        <w:ind w:left="142"/>
        <w:jc w:val="center"/>
      </w:pPr>
      <w:r>
        <w:rPr>
          <w:noProof/>
          <w:lang w:eastAsia="es-ES"/>
        </w:rPr>
        <w:drawing>
          <wp:inline distT="0" distB="0" distL="0" distR="0">
            <wp:extent cx="3590925" cy="22002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Pr="004F4483" w:rsidRDefault="00A53340" w:rsidP="00A53340">
      <w:pPr>
        <w:pBdr>
          <w:bottom w:val="single" w:sz="4" w:space="1" w:color="auto"/>
        </w:pBdr>
        <w:spacing w:line="360" w:lineRule="auto"/>
        <w:rPr>
          <w:sz w:val="20"/>
        </w:rPr>
      </w:pPr>
      <w:r w:rsidRPr="004F4483">
        <w:rPr>
          <w:sz w:val="20"/>
        </w:rPr>
        <w:t>Como se puede ver en el gráfico casi todas las respuestas se sitúan en el rango alto de valores, destacando la respuesta “Mucho” que se repite 95 veces frente a “Bastante” que se repite 33 veces.</w:t>
      </w:r>
    </w:p>
    <w:p w:rsidR="00A53340" w:rsidRPr="004F4483" w:rsidRDefault="00A53340" w:rsidP="00A53340">
      <w:pPr>
        <w:spacing w:line="360" w:lineRule="auto"/>
      </w:pPr>
    </w:p>
    <w:p w:rsidR="00A53340" w:rsidRPr="004F4483" w:rsidRDefault="00A53340" w:rsidP="00A53340">
      <w:pPr>
        <w:spacing w:line="360" w:lineRule="auto"/>
        <w:rPr>
          <w:b/>
        </w:rPr>
      </w:pPr>
      <w:r w:rsidRPr="004F4483">
        <w:rPr>
          <w:b/>
        </w:rPr>
        <w:t xml:space="preserve">2. De las dimensiones para la evaluación de la calidad de vida que le planteamos a continuación, señale tres que considere que tienen mayor impacto positivo en la calidad de vida de los trabajadores de su </w:t>
      </w:r>
      <w:r w:rsidR="00C931C2">
        <w:rPr>
          <w:b/>
        </w:rPr>
        <w:t>CEE</w:t>
      </w:r>
      <w:r w:rsidRPr="004F4483">
        <w:rPr>
          <w:b/>
        </w:rPr>
        <w:t>.</w:t>
      </w:r>
    </w:p>
    <w:p w:rsidR="00A53340" w:rsidRPr="004F4483" w:rsidRDefault="00A53340" w:rsidP="00A53340">
      <w:pPr>
        <w:pBdr>
          <w:bottom w:val="single" w:sz="4" w:space="1" w:color="auto"/>
        </w:pBdr>
        <w:spacing w:line="360" w:lineRule="auto"/>
        <w:rPr>
          <w:i/>
        </w:rPr>
      </w:pPr>
      <w:r w:rsidRPr="004F4483">
        <w:rPr>
          <w:i/>
        </w:rPr>
        <w:t>Respondido: 130    Omitido: 10</w:t>
      </w:r>
    </w:p>
    <w:p w:rsidR="00A53340" w:rsidRPr="004F4483" w:rsidRDefault="00A53340" w:rsidP="00A53340">
      <w:pPr>
        <w:tabs>
          <w:tab w:val="left" w:pos="3585"/>
        </w:tabs>
        <w:spacing w:line="360" w:lineRule="auto"/>
      </w:pPr>
      <w:r w:rsidRPr="004F4483">
        <w:tab/>
      </w:r>
      <w:r>
        <w:rPr>
          <w:noProof/>
          <w:lang w:eastAsia="es-ES"/>
        </w:rPr>
        <w:drawing>
          <wp:inline distT="0" distB="0" distL="0" distR="0">
            <wp:extent cx="5410200" cy="33909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Pr="004F4483" w:rsidRDefault="00A53340" w:rsidP="00A53340">
      <w:pPr>
        <w:pBdr>
          <w:bottom w:val="single" w:sz="4" w:space="1" w:color="auto"/>
        </w:pBdr>
        <w:spacing w:line="360" w:lineRule="auto"/>
        <w:rPr>
          <w:sz w:val="20"/>
        </w:rPr>
      </w:pPr>
      <w:r w:rsidRPr="004F4483">
        <w:rPr>
          <w:sz w:val="20"/>
        </w:rPr>
        <w:t>Todas las dimensiones propuestas han recibido respuesta. Las tres más repetidas son, por este orden: Bienestar emocional, Desarrollo personal e Inclusión social. Estas son las consideradas más importantes por los consultados con una diferencia importante respecto al resto. Aquellas con una valoración más baja son por este orden: Bienestar físico, Autodeterminación y Derechos.</w:t>
      </w:r>
    </w:p>
    <w:p w:rsidR="00A53340" w:rsidRPr="004F4483" w:rsidRDefault="00A53340" w:rsidP="00A53340">
      <w:pPr>
        <w:spacing w:line="360" w:lineRule="auto"/>
        <w:rPr>
          <w:sz w:val="20"/>
        </w:rPr>
      </w:pPr>
    </w:p>
    <w:p w:rsidR="00A53340" w:rsidRPr="004F4483" w:rsidRDefault="00A53340" w:rsidP="00A53340">
      <w:pPr>
        <w:spacing w:line="360" w:lineRule="auto"/>
      </w:pPr>
    </w:p>
    <w:p w:rsidR="00A53340" w:rsidRPr="004F4483" w:rsidRDefault="00F237AF" w:rsidP="00A53340">
      <w:pPr>
        <w:spacing w:line="360" w:lineRule="auto"/>
        <w:rPr>
          <w:b/>
        </w:rPr>
      </w:pPr>
      <w:r>
        <w:rPr>
          <w:b/>
        </w:rPr>
        <w:t>3. ¿Tiene cuantificada o medida</w:t>
      </w:r>
      <w:r w:rsidR="00A53340" w:rsidRPr="004F4483">
        <w:rPr>
          <w:b/>
        </w:rPr>
        <w:t xml:space="preserve"> la calidad de vida de los trabajadores en su CEE mediante algún instrumento o escala </w:t>
      </w:r>
      <w:r w:rsidR="00A53340" w:rsidRPr="003458F7">
        <w:rPr>
          <w:b/>
        </w:rPr>
        <w:t>de medida?</w:t>
      </w:r>
      <w:r w:rsidR="00042541" w:rsidRPr="003458F7">
        <w:rPr>
          <w:b/>
        </w:rPr>
        <w:t xml:space="preserve"> </w:t>
      </w:r>
    </w:p>
    <w:p w:rsidR="00A53340" w:rsidRPr="004F4483" w:rsidRDefault="00A53340" w:rsidP="00A53340">
      <w:pPr>
        <w:pBdr>
          <w:bottom w:val="single" w:sz="4" w:space="1" w:color="auto"/>
        </w:pBdr>
        <w:spacing w:line="360" w:lineRule="auto"/>
        <w:rPr>
          <w:i/>
        </w:rPr>
      </w:pPr>
      <w:r w:rsidRPr="004F4483">
        <w:rPr>
          <w:i/>
        </w:rPr>
        <w:t>Respondido: 130    Omitido: 10</w:t>
      </w:r>
    </w:p>
    <w:p w:rsidR="00A53340" w:rsidRPr="004F4483" w:rsidRDefault="00A53340" w:rsidP="00A53340">
      <w:pPr>
        <w:spacing w:line="360" w:lineRule="auto"/>
        <w:rPr>
          <w:b/>
        </w:rPr>
      </w:pPr>
      <w:r>
        <w:rPr>
          <w:noProof/>
          <w:lang w:eastAsia="es-ES"/>
        </w:rPr>
        <w:drawing>
          <wp:inline distT="0" distB="0" distL="0" distR="0">
            <wp:extent cx="5402580" cy="74676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53340" w:rsidRDefault="00A53340" w:rsidP="00A53340">
      <w:pPr>
        <w:spacing w:line="360" w:lineRule="auto"/>
        <w:rPr>
          <w:sz w:val="20"/>
        </w:rPr>
      </w:pPr>
    </w:p>
    <w:p w:rsidR="00A53340" w:rsidRPr="004F4483" w:rsidRDefault="00A53340" w:rsidP="00A53340">
      <w:pPr>
        <w:spacing w:line="360" w:lineRule="auto"/>
        <w:rPr>
          <w:sz w:val="20"/>
        </w:rPr>
      </w:pPr>
      <w:r w:rsidRPr="004F4483">
        <w:rPr>
          <w:sz w:val="20"/>
        </w:rPr>
        <w:t>Fuente: Elaboración propia</w:t>
      </w:r>
    </w:p>
    <w:p w:rsidR="00A53340" w:rsidRPr="004F4483" w:rsidRDefault="00A53340" w:rsidP="00A53340">
      <w:pPr>
        <w:pBdr>
          <w:bottom w:val="single" w:sz="4" w:space="1" w:color="auto"/>
        </w:pBdr>
        <w:spacing w:line="360" w:lineRule="auto"/>
        <w:rPr>
          <w:sz w:val="20"/>
        </w:rPr>
      </w:pPr>
      <w:r w:rsidRPr="004F4483">
        <w:rPr>
          <w:sz w:val="20"/>
        </w:rPr>
        <w:t xml:space="preserve">La gran mayoría de los </w:t>
      </w:r>
      <w:r w:rsidR="00A95742">
        <w:rPr>
          <w:sz w:val="20"/>
        </w:rPr>
        <w:t>CEEs</w:t>
      </w:r>
      <w:r w:rsidRPr="004F4483">
        <w:rPr>
          <w:sz w:val="20"/>
        </w:rPr>
        <w:t xml:space="preserve"> consultados (80) contesta que no cuantifica la calidad de vida de los trabajadores mediante algún instrumento o escala de medida, frente a solamente 22 que asegura si realizar este tipo de mediciones.</w:t>
      </w:r>
    </w:p>
    <w:p w:rsidR="00A53340" w:rsidRDefault="00A53340" w:rsidP="00A53340">
      <w:pPr>
        <w:tabs>
          <w:tab w:val="left" w:pos="1710"/>
        </w:tabs>
        <w:spacing w:line="360" w:lineRule="auto"/>
        <w:rPr>
          <w:b/>
        </w:rPr>
      </w:pPr>
    </w:p>
    <w:p w:rsidR="003458F7" w:rsidRDefault="003458F7" w:rsidP="003458F7">
      <w:pPr>
        <w:autoSpaceDE w:val="0"/>
        <w:autoSpaceDN w:val="0"/>
        <w:spacing w:line="360" w:lineRule="auto"/>
        <w:jc w:val="both"/>
        <w:rPr>
          <w:sz w:val="24"/>
          <w:szCs w:val="24"/>
        </w:rPr>
      </w:pPr>
      <w:r w:rsidRPr="0088651F">
        <w:rPr>
          <w:sz w:val="24"/>
          <w:szCs w:val="24"/>
        </w:rPr>
        <w:t xml:space="preserve">Como se puede observar en </w:t>
      </w:r>
      <w:r>
        <w:rPr>
          <w:sz w:val="24"/>
          <w:szCs w:val="24"/>
        </w:rPr>
        <w:t>la gráfica anterior</w:t>
      </w:r>
      <w:r w:rsidRPr="0088651F">
        <w:rPr>
          <w:sz w:val="24"/>
          <w:szCs w:val="24"/>
        </w:rPr>
        <w:t xml:space="preserve">, el </w:t>
      </w:r>
      <w:r>
        <w:rPr>
          <w:sz w:val="24"/>
          <w:szCs w:val="24"/>
        </w:rPr>
        <w:t xml:space="preserve">uso de herramientas o escalas para medir o cuantificar </w:t>
      </w:r>
      <w:r w:rsidRPr="0088651F">
        <w:rPr>
          <w:sz w:val="24"/>
          <w:szCs w:val="24"/>
        </w:rPr>
        <w:t>la calidad de vida de los trabajadores, la autonomía de la persona o el bienestar material</w:t>
      </w:r>
      <w:r>
        <w:rPr>
          <w:sz w:val="24"/>
          <w:szCs w:val="24"/>
        </w:rPr>
        <w:t>,</w:t>
      </w:r>
      <w:r w:rsidRPr="0088651F">
        <w:rPr>
          <w:sz w:val="24"/>
          <w:szCs w:val="24"/>
        </w:rPr>
        <w:t xml:space="preserve"> no es una práctica todavía extendida</w:t>
      </w:r>
      <w:r>
        <w:rPr>
          <w:sz w:val="24"/>
          <w:szCs w:val="24"/>
        </w:rPr>
        <w:t xml:space="preserve"> entre los CEEs de Castilla y León</w:t>
      </w:r>
      <w:r w:rsidRPr="0088651F">
        <w:rPr>
          <w:sz w:val="24"/>
          <w:szCs w:val="24"/>
        </w:rPr>
        <w:t xml:space="preserve">, siendo quizá ésta una posible área de mejora. </w:t>
      </w:r>
    </w:p>
    <w:p w:rsidR="003458F7" w:rsidRPr="0088651F" w:rsidRDefault="003458F7" w:rsidP="003458F7">
      <w:pPr>
        <w:autoSpaceDE w:val="0"/>
        <w:autoSpaceDN w:val="0"/>
        <w:spacing w:line="360" w:lineRule="auto"/>
        <w:jc w:val="both"/>
        <w:rPr>
          <w:sz w:val="24"/>
          <w:szCs w:val="24"/>
        </w:rPr>
      </w:pPr>
    </w:p>
    <w:p w:rsidR="003458F7" w:rsidRDefault="003458F7" w:rsidP="003458F7">
      <w:pPr>
        <w:autoSpaceDE w:val="0"/>
        <w:autoSpaceDN w:val="0"/>
        <w:spacing w:line="360" w:lineRule="auto"/>
        <w:jc w:val="both"/>
        <w:rPr>
          <w:sz w:val="24"/>
          <w:szCs w:val="24"/>
        </w:rPr>
      </w:pPr>
      <w:r w:rsidRPr="0088651F">
        <w:rPr>
          <w:sz w:val="24"/>
          <w:szCs w:val="24"/>
        </w:rPr>
        <w:t xml:space="preserve">No obstante, </w:t>
      </w:r>
      <w:r>
        <w:rPr>
          <w:sz w:val="24"/>
          <w:szCs w:val="24"/>
        </w:rPr>
        <w:t xml:space="preserve">la escala más extendida entre </w:t>
      </w:r>
      <w:r w:rsidRPr="0088651F">
        <w:rPr>
          <w:sz w:val="24"/>
          <w:szCs w:val="24"/>
        </w:rPr>
        <w:t xml:space="preserve">los </w:t>
      </w:r>
      <w:r>
        <w:rPr>
          <w:sz w:val="24"/>
          <w:szCs w:val="24"/>
        </w:rPr>
        <w:t>CEEs</w:t>
      </w:r>
      <w:r w:rsidRPr="0088651F">
        <w:rPr>
          <w:sz w:val="24"/>
          <w:szCs w:val="24"/>
        </w:rPr>
        <w:t xml:space="preserve"> que sí utilizan estas herramientas de medición de impacto</w:t>
      </w:r>
      <w:r>
        <w:rPr>
          <w:sz w:val="24"/>
          <w:szCs w:val="24"/>
        </w:rPr>
        <w:t xml:space="preserve"> (22 de ellos), es la Escala Gencat. De entre los CEEs que miden o cuantifican su impacto social, la puntuación media que </w:t>
      </w:r>
      <w:r w:rsidRPr="00E304A9">
        <w:rPr>
          <w:sz w:val="24"/>
          <w:szCs w:val="24"/>
        </w:rPr>
        <w:t>obtiene la plantilla de trabajadores en</w:t>
      </w:r>
      <w:r>
        <w:rPr>
          <w:sz w:val="24"/>
          <w:szCs w:val="24"/>
        </w:rPr>
        <w:t xml:space="preserve"> los aspectos relacionados con </w:t>
      </w:r>
      <w:r w:rsidRPr="00E304A9">
        <w:rPr>
          <w:sz w:val="24"/>
          <w:szCs w:val="24"/>
        </w:rPr>
        <w:t>la autonomía de la persona</w:t>
      </w:r>
      <w:r>
        <w:rPr>
          <w:sz w:val="24"/>
          <w:szCs w:val="24"/>
        </w:rPr>
        <w:t xml:space="preserve"> es de 7,11 sobre 10.  </w:t>
      </w:r>
      <w:r w:rsidRPr="00E304A9">
        <w:rPr>
          <w:sz w:val="24"/>
          <w:szCs w:val="24"/>
        </w:rPr>
        <w:t xml:space="preserve">En cuanto a los aspectos relacionados con el bienestar material, la puntuación media es de 6,95 sobre 10. </w:t>
      </w:r>
      <w:r>
        <w:rPr>
          <w:sz w:val="24"/>
          <w:szCs w:val="24"/>
        </w:rPr>
        <w:t>Finalmente, para aquellos CEEs que cuantifican en qué medida</w:t>
      </w:r>
      <w:r w:rsidRPr="00E304A9">
        <w:rPr>
          <w:sz w:val="24"/>
          <w:szCs w:val="24"/>
        </w:rPr>
        <w:t xml:space="preserve"> las familias facilita</w:t>
      </w:r>
      <w:r>
        <w:rPr>
          <w:sz w:val="24"/>
          <w:szCs w:val="24"/>
        </w:rPr>
        <w:t xml:space="preserve">n la autonomía e independencia </w:t>
      </w:r>
      <w:r w:rsidRPr="00E304A9">
        <w:rPr>
          <w:sz w:val="24"/>
          <w:szCs w:val="24"/>
        </w:rPr>
        <w:t xml:space="preserve">personal de los trabajadores </w:t>
      </w:r>
      <w:r>
        <w:rPr>
          <w:sz w:val="24"/>
          <w:szCs w:val="24"/>
        </w:rPr>
        <w:t>con discapacidad, la puntuación media es de 6,80 sobre 10.</w:t>
      </w:r>
    </w:p>
    <w:p w:rsidR="003458F7" w:rsidRPr="003458F7" w:rsidRDefault="003458F7" w:rsidP="003458F7">
      <w:pPr>
        <w:autoSpaceDE w:val="0"/>
        <w:autoSpaceDN w:val="0"/>
        <w:spacing w:line="360" w:lineRule="auto"/>
        <w:jc w:val="both"/>
        <w:rPr>
          <w:sz w:val="24"/>
          <w:szCs w:val="24"/>
        </w:rPr>
      </w:pPr>
    </w:p>
    <w:p w:rsidR="00A53340" w:rsidRPr="004F4483" w:rsidRDefault="00A53340" w:rsidP="00A53340">
      <w:pPr>
        <w:tabs>
          <w:tab w:val="left" w:pos="1710"/>
        </w:tabs>
        <w:spacing w:line="360" w:lineRule="auto"/>
        <w:rPr>
          <w:b/>
        </w:rPr>
      </w:pPr>
      <w:r>
        <w:rPr>
          <w:b/>
        </w:rPr>
        <w:t>4</w:t>
      </w:r>
      <w:r w:rsidRPr="004F4483">
        <w:rPr>
          <w:b/>
        </w:rPr>
        <w:t>. Señale hasta tres ámbitos en los que cree que suelen ser más frecuentes los apoyos que los trabajadores con discapacidad de su CEE reciben de sus familias.</w:t>
      </w:r>
    </w:p>
    <w:p w:rsidR="00A53340" w:rsidRPr="004F4483" w:rsidRDefault="00A53340" w:rsidP="00A53340">
      <w:pPr>
        <w:spacing w:line="360" w:lineRule="auto"/>
        <w:rPr>
          <w:i/>
        </w:rPr>
      </w:pPr>
      <w:r w:rsidRPr="004F4483">
        <w:rPr>
          <w:i/>
        </w:rPr>
        <w:t>Respondido: 125    Omitido: 15</w:t>
      </w:r>
    </w:p>
    <w:p w:rsidR="00A53340" w:rsidRPr="004F4483" w:rsidRDefault="00A53340" w:rsidP="00A53340">
      <w:pPr>
        <w:tabs>
          <w:tab w:val="left" w:pos="1710"/>
        </w:tabs>
        <w:spacing w:line="360" w:lineRule="auto"/>
        <w:rPr>
          <w:b/>
        </w:rPr>
      </w:pPr>
      <w:r>
        <w:rPr>
          <w:noProof/>
          <w:lang w:eastAsia="es-ES"/>
        </w:rPr>
        <w:drawing>
          <wp:inline distT="0" distB="0" distL="0" distR="0">
            <wp:extent cx="5402580" cy="363474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69" cstate="print"/>
                    <a:srcRect l="-7777" t="-3934" r="-9084" b="-7439"/>
                    <a:stretch>
                      <a:fillRect/>
                    </a:stretch>
                  </pic:blipFill>
                  <pic:spPr bwMode="auto">
                    <a:xfrm>
                      <a:off x="0" y="0"/>
                      <a:ext cx="5402580" cy="3634740"/>
                    </a:xfrm>
                    <a:prstGeom prst="rect">
                      <a:avLst/>
                    </a:prstGeom>
                    <a:noFill/>
                    <a:ln w="9525">
                      <a:noFill/>
                      <a:miter lim="800000"/>
                      <a:headEnd/>
                      <a:tailEnd/>
                    </a:ln>
                  </pic:spPr>
                </pic:pic>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Pr="004F4483" w:rsidRDefault="00A53340" w:rsidP="00A53340">
      <w:pPr>
        <w:pBdr>
          <w:bottom w:val="single" w:sz="4" w:space="1" w:color="auto"/>
        </w:pBdr>
        <w:tabs>
          <w:tab w:val="left" w:pos="1710"/>
        </w:tabs>
        <w:spacing w:line="360" w:lineRule="auto"/>
        <w:rPr>
          <w:sz w:val="20"/>
        </w:rPr>
      </w:pPr>
      <w:r w:rsidRPr="004F4483">
        <w:rPr>
          <w:sz w:val="20"/>
        </w:rPr>
        <w:t xml:space="preserve">Referente a los ámbitos en los que los trabajadores de los CEE reciben apoyo más frecuentemente por parte de sus familias, destacan principalmente las categorías “Cuidado de la salud”, con 68 respuestas y “Vivienda y vida en el hogar” repetida 62 veces. Las categorías que menos se repiten en esta pregunta son “Ninguna” y </w:t>
      </w:r>
      <w:r w:rsidR="00F237AF">
        <w:rPr>
          <w:sz w:val="20"/>
        </w:rPr>
        <w:t xml:space="preserve">“Otros” con 1 y 2 repeticiones </w:t>
      </w:r>
      <w:r w:rsidRPr="004F4483">
        <w:rPr>
          <w:sz w:val="20"/>
        </w:rPr>
        <w:t>respectivamente.</w:t>
      </w:r>
    </w:p>
    <w:p w:rsidR="003458F7" w:rsidRDefault="003458F7" w:rsidP="00A53340">
      <w:pPr>
        <w:tabs>
          <w:tab w:val="left" w:pos="1710"/>
        </w:tabs>
        <w:spacing w:line="360" w:lineRule="auto"/>
        <w:rPr>
          <w:b/>
        </w:rPr>
      </w:pPr>
    </w:p>
    <w:p w:rsidR="00A53340" w:rsidRPr="004F4483" w:rsidRDefault="00A53340" w:rsidP="00A53340">
      <w:pPr>
        <w:tabs>
          <w:tab w:val="left" w:pos="1710"/>
        </w:tabs>
        <w:spacing w:line="360" w:lineRule="auto"/>
        <w:rPr>
          <w:b/>
        </w:rPr>
      </w:pPr>
      <w:r>
        <w:rPr>
          <w:b/>
        </w:rPr>
        <w:t>5</w:t>
      </w:r>
      <w:r w:rsidRPr="004F4483">
        <w:rPr>
          <w:b/>
        </w:rPr>
        <w:t>. ¿En qué medida cree que el empleo de la persona con discapacidad que trabaja en su CEE facilita que el resto de los miembros de su familia puedan tener más oportunidades de trabajo y un impacto positivo en su desarrollo laboral?  (1. No facilita nada/ 10. Facilita mucho)</w:t>
      </w:r>
    </w:p>
    <w:p w:rsidR="00A53340" w:rsidRPr="004F4483" w:rsidRDefault="00A53340" w:rsidP="00A53340">
      <w:pPr>
        <w:pBdr>
          <w:bottom w:val="single" w:sz="4" w:space="1" w:color="auto"/>
        </w:pBdr>
        <w:spacing w:line="360" w:lineRule="auto"/>
        <w:rPr>
          <w:i/>
        </w:rPr>
      </w:pPr>
      <w:r w:rsidRPr="004F4483">
        <w:rPr>
          <w:i/>
        </w:rPr>
        <w:t>Respondido: 125    Omitido: 15</w:t>
      </w:r>
    </w:p>
    <w:p w:rsidR="00A53340" w:rsidRPr="004F4483" w:rsidRDefault="00A53340" w:rsidP="00A53340">
      <w:pPr>
        <w:tabs>
          <w:tab w:val="left" w:pos="1710"/>
        </w:tabs>
        <w:spacing w:line="360" w:lineRule="auto"/>
        <w:jc w:val="center"/>
        <w:rPr>
          <w:b/>
        </w:rPr>
      </w:pPr>
      <w:r>
        <w:rPr>
          <w:noProof/>
          <w:lang w:eastAsia="es-ES"/>
        </w:rPr>
        <w:drawing>
          <wp:inline distT="0" distB="0" distL="0" distR="0">
            <wp:extent cx="3688080" cy="10439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53340" w:rsidRDefault="00A53340" w:rsidP="00A53340">
      <w:pPr>
        <w:spacing w:line="360" w:lineRule="auto"/>
        <w:rPr>
          <w:sz w:val="20"/>
        </w:rPr>
      </w:pPr>
    </w:p>
    <w:p w:rsidR="00A53340" w:rsidRPr="004F4483" w:rsidRDefault="00A53340" w:rsidP="00A53340">
      <w:pPr>
        <w:spacing w:line="360" w:lineRule="auto"/>
        <w:rPr>
          <w:sz w:val="20"/>
        </w:rPr>
      </w:pPr>
      <w:r w:rsidRPr="004F4483">
        <w:rPr>
          <w:sz w:val="20"/>
        </w:rPr>
        <w:t>Fuente: Elaboración propia</w:t>
      </w:r>
    </w:p>
    <w:p w:rsidR="00A53340" w:rsidRPr="004F4483" w:rsidRDefault="00F237AF" w:rsidP="00A53340">
      <w:pPr>
        <w:pBdr>
          <w:bottom w:val="single" w:sz="4" w:space="1" w:color="auto"/>
        </w:pBdr>
        <w:tabs>
          <w:tab w:val="left" w:pos="1710"/>
        </w:tabs>
        <w:spacing w:line="360" w:lineRule="auto"/>
        <w:rPr>
          <w:sz w:val="20"/>
        </w:rPr>
      </w:pPr>
      <w:r>
        <w:rPr>
          <w:sz w:val="20"/>
        </w:rPr>
        <w:t>Preguntados sobre hasta qué</w:t>
      </w:r>
      <w:r w:rsidR="00A53340" w:rsidRPr="004F4483">
        <w:rPr>
          <w:sz w:val="20"/>
        </w:rPr>
        <w:t xml:space="preserve"> punto el empleo de una persona con discapacidad puede facilitar el que el resto de miembros de su familia tengan más oportunidades de trabajo y un impacto positivo en su desarrollo laboral, los consultados asignan una puntuación media muy próxima a los 7 puntos.</w:t>
      </w:r>
    </w:p>
    <w:p w:rsidR="00A53340" w:rsidRDefault="00A53340" w:rsidP="00A53340">
      <w:pPr>
        <w:tabs>
          <w:tab w:val="left" w:pos="1710"/>
        </w:tabs>
        <w:spacing w:line="360" w:lineRule="auto"/>
        <w:rPr>
          <w:b/>
        </w:rPr>
      </w:pPr>
    </w:p>
    <w:p w:rsidR="00A53340" w:rsidRPr="004F4483" w:rsidRDefault="00A53340" w:rsidP="00A53340">
      <w:pPr>
        <w:tabs>
          <w:tab w:val="left" w:pos="1710"/>
        </w:tabs>
        <w:spacing w:line="360" w:lineRule="auto"/>
        <w:rPr>
          <w:b/>
        </w:rPr>
      </w:pPr>
      <w:r>
        <w:rPr>
          <w:b/>
        </w:rPr>
        <w:t>6</w:t>
      </w:r>
      <w:r w:rsidRPr="004F4483">
        <w:rPr>
          <w:b/>
        </w:rPr>
        <w:t>. ¿En qué medida cree que el empleo de la persona con discapacidad que trabaja en su CEE facilita el desarrol</w:t>
      </w:r>
      <w:r w:rsidR="00F237AF">
        <w:rPr>
          <w:b/>
        </w:rPr>
        <w:t xml:space="preserve">lo personal y social del resto </w:t>
      </w:r>
      <w:r w:rsidRPr="004F4483">
        <w:rPr>
          <w:b/>
        </w:rPr>
        <w:t>de los miembros su familia? (1. No facilita nada/ 10. Facilita mucho)</w:t>
      </w:r>
    </w:p>
    <w:p w:rsidR="00A53340" w:rsidRPr="004F4483" w:rsidRDefault="00A53340" w:rsidP="00A53340">
      <w:pPr>
        <w:pBdr>
          <w:bottom w:val="single" w:sz="4" w:space="1" w:color="auto"/>
        </w:pBdr>
        <w:spacing w:line="360" w:lineRule="auto"/>
        <w:rPr>
          <w:i/>
        </w:rPr>
      </w:pPr>
      <w:r w:rsidRPr="004F4483">
        <w:rPr>
          <w:i/>
        </w:rPr>
        <w:t>Respondido: 125    Omitido: 15</w:t>
      </w:r>
    </w:p>
    <w:p w:rsidR="00A53340" w:rsidRPr="004F4483" w:rsidRDefault="00A53340" w:rsidP="00A53340">
      <w:pPr>
        <w:tabs>
          <w:tab w:val="left" w:pos="1710"/>
        </w:tabs>
        <w:spacing w:line="360" w:lineRule="auto"/>
        <w:jc w:val="center"/>
        <w:rPr>
          <w:b/>
        </w:rPr>
      </w:pPr>
      <w:r>
        <w:rPr>
          <w:noProof/>
          <w:lang w:eastAsia="es-ES"/>
        </w:rPr>
        <w:drawing>
          <wp:inline distT="0" distB="0" distL="0" distR="0">
            <wp:extent cx="3688080" cy="104394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Pr="004F4483" w:rsidRDefault="00A53340" w:rsidP="00A53340">
      <w:pPr>
        <w:pBdr>
          <w:bottom w:val="single" w:sz="4" w:space="1" w:color="auto"/>
        </w:pBdr>
        <w:tabs>
          <w:tab w:val="left" w:pos="1710"/>
        </w:tabs>
        <w:spacing w:line="360" w:lineRule="auto"/>
        <w:rPr>
          <w:sz w:val="20"/>
        </w:rPr>
      </w:pPr>
      <w:proofErr w:type="gramStart"/>
      <w:r w:rsidRPr="004F4483">
        <w:rPr>
          <w:sz w:val="20"/>
        </w:rPr>
        <w:t>Preguntados sobre</w:t>
      </w:r>
      <w:proofErr w:type="gramEnd"/>
      <w:r w:rsidRPr="004F4483">
        <w:rPr>
          <w:sz w:val="20"/>
        </w:rPr>
        <w:t xml:space="preserve"> hasta que punto el empleo de una persona con discapacidad puede facilitar el que el resto de miembros de su familia se desarrollen personal y socialmente, los consultados asignan una puntuación media superior a los 7 puntos.</w:t>
      </w:r>
    </w:p>
    <w:p w:rsidR="00A53340" w:rsidRDefault="00A53340" w:rsidP="00A53340">
      <w:pPr>
        <w:tabs>
          <w:tab w:val="left" w:pos="1710"/>
        </w:tabs>
        <w:spacing w:line="360" w:lineRule="auto"/>
        <w:rPr>
          <w:b/>
        </w:rPr>
      </w:pPr>
    </w:p>
    <w:p w:rsidR="00A53340" w:rsidRPr="004F4483" w:rsidRDefault="00A53340" w:rsidP="00A53340">
      <w:pPr>
        <w:tabs>
          <w:tab w:val="left" w:pos="1710"/>
        </w:tabs>
        <w:spacing w:line="360" w:lineRule="auto"/>
        <w:rPr>
          <w:b/>
        </w:rPr>
      </w:pPr>
      <w:r>
        <w:rPr>
          <w:b/>
        </w:rPr>
        <w:t>7</w:t>
      </w:r>
      <w:r w:rsidRPr="004F4483">
        <w:rPr>
          <w:b/>
        </w:rPr>
        <w:t>. ¿Desarrolla su CEE alguna actividad empresarial o nueva línea de negocio relacionada con la sostenibilidad medioambiental?</w:t>
      </w:r>
    </w:p>
    <w:p w:rsidR="00A53340" w:rsidRPr="004F4483" w:rsidRDefault="00A53340" w:rsidP="00A53340">
      <w:pPr>
        <w:pBdr>
          <w:bottom w:val="single" w:sz="4" w:space="1" w:color="auto"/>
        </w:pBdr>
        <w:spacing w:line="360" w:lineRule="auto"/>
        <w:rPr>
          <w:i/>
        </w:rPr>
      </w:pPr>
      <w:r w:rsidRPr="004F4483">
        <w:rPr>
          <w:i/>
        </w:rPr>
        <w:t>Respondido: 125    Omitido: 15</w:t>
      </w:r>
    </w:p>
    <w:p w:rsidR="00A53340" w:rsidRPr="004F4483" w:rsidRDefault="00A53340" w:rsidP="00A53340">
      <w:pPr>
        <w:tabs>
          <w:tab w:val="left" w:pos="1710"/>
        </w:tabs>
        <w:spacing w:line="360" w:lineRule="auto"/>
        <w:rPr>
          <w:b/>
        </w:rPr>
      </w:pPr>
      <w:r>
        <w:rPr>
          <w:noProof/>
          <w:lang w:eastAsia="es-ES"/>
        </w:rPr>
        <w:drawing>
          <wp:inline distT="0" distB="0" distL="0" distR="0">
            <wp:extent cx="5387340" cy="111252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Default="00A53340" w:rsidP="00A53340">
      <w:pPr>
        <w:pBdr>
          <w:bottom w:val="single" w:sz="4" w:space="1" w:color="auto"/>
        </w:pBdr>
        <w:tabs>
          <w:tab w:val="left" w:pos="1710"/>
        </w:tabs>
        <w:spacing w:line="360" w:lineRule="auto"/>
        <w:rPr>
          <w:sz w:val="20"/>
        </w:rPr>
      </w:pPr>
      <w:r w:rsidRPr="004F4483">
        <w:rPr>
          <w:sz w:val="20"/>
        </w:rPr>
        <w:t>La mayoría de los CEE consultados (79) afirman no disponer de ninguna actividad empresarial o línea de negocio relacionada con la sostenibilidad ambiental, mientras 29 de ellos si afirman estar desarrollando actividades relacionadas con este campo.</w:t>
      </w:r>
    </w:p>
    <w:p w:rsidR="00A53340" w:rsidRPr="004F4483" w:rsidRDefault="00A53340" w:rsidP="00A53340">
      <w:pPr>
        <w:tabs>
          <w:tab w:val="left" w:pos="1710"/>
        </w:tabs>
        <w:spacing w:line="360" w:lineRule="auto"/>
        <w:rPr>
          <w:b/>
        </w:rPr>
      </w:pPr>
    </w:p>
    <w:p w:rsidR="00A53340" w:rsidRPr="004F4483" w:rsidRDefault="00A53340" w:rsidP="00A53340">
      <w:pPr>
        <w:tabs>
          <w:tab w:val="left" w:pos="1710"/>
        </w:tabs>
        <w:spacing w:line="360" w:lineRule="auto"/>
        <w:rPr>
          <w:b/>
        </w:rPr>
      </w:pPr>
      <w:r>
        <w:rPr>
          <w:b/>
        </w:rPr>
        <w:t>8</w:t>
      </w:r>
      <w:r w:rsidRPr="004F4483">
        <w:rPr>
          <w:b/>
        </w:rPr>
        <w:t xml:space="preserve">. Indicar cuales:  </w:t>
      </w:r>
    </w:p>
    <w:p w:rsidR="00A53340" w:rsidRPr="004F4483" w:rsidRDefault="00A53340" w:rsidP="00A53340">
      <w:pPr>
        <w:pBdr>
          <w:bottom w:val="single" w:sz="4" w:space="1" w:color="auto"/>
        </w:pBdr>
        <w:spacing w:line="360" w:lineRule="auto"/>
        <w:rPr>
          <w:i/>
        </w:rPr>
      </w:pPr>
      <w:r w:rsidRPr="004F4483">
        <w:rPr>
          <w:i/>
        </w:rPr>
        <w:t>Respondido: 32    Omitido: 108</w:t>
      </w:r>
    </w:p>
    <w:p w:rsidR="00A53340" w:rsidRPr="004F4483" w:rsidRDefault="00A53340" w:rsidP="00A53340">
      <w:pPr>
        <w:tabs>
          <w:tab w:val="left" w:pos="1710"/>
        </w:tabs>
        <w:spacing w:line="360" w:lineRule="auto"/>
        <w:rPr>
          <w:b/>
        </w:rPr>
      </w:pPr>
      <w:r>
        <w:rPr>
          <w:noProof/>
          <w:lang w:eastAsia="es-ES"/>
        </w:rPr>
        <w:drawing>
          <wp:inline distT="0" distB="0" distL="0" distR="0">
            <wp:extent cx="5402580" cy="3429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Default="00A53340" w:rsidP="00A53340">
      <w:pPr>
        <w:pBdr>
          <w:bottom w:val="single" w:sz="4" w:space="1" w:color="auto"/>
        </w:pBdr>
        <w:tabs>
          <w:tab w:val="left" w:pos="1710"/>
        </w:tabs>
        <w:spacing w:line="360" w:lineRule="auto"/>
        <w:rPr>
          <w:sz w:val="20"/>
        </w:rPr>
      </w:pPr>
      <w:r w:rsidRPr="004F4483">
        <w:rPr>
          <w:sz w:val="20"/>
        </w:rPr>
        <w:t>Consultados acerca de cuáles son las actividades relacionadas con la sostenibilidad que emprenden los CEE, los resultados son bastante variados, si bien las actividades más frecuentes son por este orden: Reciclado de aceite vegetal, Reciclado de aparatos eléctricos y electrónicos, Reciclado de papel y destrucción de documentos, Reciclado de ropa y Actividades de jardinería y medio ambiente. Por el contrario las menos frecuentes son: Reciclado de automóviles, tratamiento de combustibles nucleares y residuos radiactivos.</w:t>
      </w:r>
    </w:p>
    <w:p w:rsidR="00A53340" w:rsidRPr="004F4483" w:rsidRDefault="00A53340" w:rsidP="00A53340">
      <w:pPr>
        <w:tabs>
          <w:tab w:val="left" w:pos="1710"/>
        </w:tabs>
        <w:spacing w:line="360" w:lineRule="auto"/>
        <w:rPr>
          <w:sz w:val="20"/>
        </w:rPr>
      </w:pPr>
    </w:p>
    <w:p w:rsidR="00A53340" w:rsidRPr="004F4483" w:rsidRDefault="00A53340" w:rsidP="00A53340">
      <w:pPr>
        <w:tabs>
          <w:tab w:val="left" w:pos="1710"/>
        </w:tabs>
        <w:spacing w:line="360" w:lineRule="auto"/>
        <w:rPr>
          <w:b/>
        </w:rPr>
      </w:pPr>
      <w:r>
        <w:rPr>
          <w:b/>
        </w:rPr>
        <w:t>9</w:t>
      </w:r>
      <w:r w:rsidRPr="004F4483">
        <w:rPr>
          <w:b/>
        </w:rPr>
        <w:t>. ¿Tiene cuantificado el impacto positivo de esa actividad en el medio ambiente?</w:t>
      </w:r>
    </w:p>
    <w:p w:rsidR="00A53340" w:rsidRPr="004F4483" w:rsidRDefault="00A53340" w:rsidP="00A53340">
      <w:pPr>
        <w:pBdr>
          <w:bottom w:val="single" w:sz="4" w:space="1" w:color="auto"/>
        </w:pBdr>
        <w:spacing w:line="360" w:lineRule="auto"/>
        <w:rPr>
          <w:i/>
        </w:rPr>
      </w:pPr>
      <w:r w:rsidRPr="004F4483">
        <w:rPr>
          <w:i/>
        </w:rPr>
        <w:t>Respondido: 32    Omitido: 108</w:t>
      </w:r>
    </w:p>
    <w:p w:rsidR="00A53340" w:rsidRPr="004F4483" w:rsidRDefault="00A53340" w:rsidP="00A53340">
      <w:pPr>
        <w:tabs>
          <w:tab w:val="left" w:pos="1710"/>
        </w:tabs>
        <w:spacing w:line="360" w:lineRule="auto"/>
        <w:rPr>
          <w:b/>
        </w:rPr>
      </w:pPr>
      <w:r>
        <w:rPr>
          <w:noProof/>
          <w:lang w:eastAsia="es-ES"/>
        </w:rPr>
        <w:drawing>
          <wp:inline distT="0" distB="0" distL="0" distR="0">
            <wp:extent cx="5402580" cy="10744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Pr="004F4483" w:rsidRDefault="00A53340" w:rsidP="00A53340">
      <w:pPr>
        <w:pBdr>
          <w:bottom w:val="single" w:sz="4" w:space="1" w:color="auto"/>
        </w:pBdr>
        <w:tabs>
          <w:tab w:val="left" w:pos="1710"/>
        </w:tabs>
        <w:spacing w:line="360" w:lineRule="auto"/>
        <w:rPr>
          <w:sz w:val="20"/>
        </w:rPr>
      </w:pPr>
      <w:r w:rsidRPr="004F4483">
        <w:rPr>
          <w:sz w:val="20"/>
        </w:rPr>
        <w:t>A la pregunta de si los CEE cuantifican el impacto positivo de esta actividad en el medio ambiente, es mayoritaria la respuesta de que no lo hacen, contestado por 16 de los consultados, mientras 13 de ellos afirma si realizar esta cuantificación.</w:t>
      </w:r>
    </w:p>
    <w:p w:rsidR="00A53340" w:rsidRPr="004F4483" w:rsidRDefault="00A53340" w:rsidP="00A53340">
      <w:pPr>
        <w:tabs>
          <w:tab w:val="left" w:pos="1710"/>
        </w:tabs>
        <w:spacing w:line="360" w:lineRule="auto"/>
        <w:rPr>
          <w:b/>
        </w:rPr>
      </w:pPr>
    </w:p>
    <w:p w:rsidR="00A53340" w:rsidRPr="004F4483" w:rsidRDefault="00A53340" w:rsidP="00A53340">
      <w:pPr>
        <w:tabs>
          <w:tab w:val="left" w:pos="1710"/>
        </w:tabs>
        <w:spacing w:line="360" w:lineRule="auto"/>
        <w:rPr>
          <w:b/>
        </w:rPr>
      </w:pPr>
      <w:r>
        <w:rPr>
          <w:b/>
        </w:rPr>
        <w:t>10</w:t>
      </w:r>
      <w:r w:rsidRPr="004F4483">
        <w:rPr>
          <w:b/>
        </w:rPr>
        <w:t>. ¿Qué nivel de importancia tiene en su actividad empresarial la innovación? (1. Ninguna importancia/10. Mucha importancia)</w:t>
      </w:r>
    </w:p>
    <w:p w:rsidR="00A53340" w:rsidRPr="004F4483" w:rsidRDefault="00A53340" w:rsidP="00A53340">
      <w:pPr>
        <w:pBdr>
          <w:bottom w:val="single" w:sz="4" w:space="1" w:color="auto"/>
        </w:pBdr>
        <w:spacing w:line="360" w:lineRule="auto"/>
        <w:rPr>
          <w:i/>
        </w:rPr>
      </w:pPr>
      <w:r w:rsidRPr="004F4483">
        <w:rPr>
          <w:i/>
        </w:rPr>
        <w:t>Respondido: 121    Omitido: 19</w:t>
      </w:r>
    </w:p>
    <w:p w:rsidR="00A53340" w:rsidRPr="004F4483" w:rsidRDefault="00A53340" w:rsidP="00A53340">
      <w:pPr>
        <w:tabs>
          <w:tab w:val="left" w:pos="1710"/>
        </w:tabs>
        <w:spacing w:line="360" w:lineRule="auto"/>
        <w:jc w:val="center"/>
        <w:rPr>
          <w:b/>
        </w:rPr>
      </w:pPr>
      <w:r>
        <w:rPr>
          <w:noProof/>
          <w:lang w:eastAsia="es-ES"/>
        </w:rPr>
        <w:drawing>
          <wp:inline distT="0" distB="0" distL="0" distR="0">
            <wp:extent cx="3688080" cy="104394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Pr="004F4483" w:rsidRDefault="00A53340" w:rsidP="00A53340">
      <w:pPr>
        <w:pBdr>
          <w:bottom w:val="single" w:sz="4" w:space="1" w:color="auto"/>
        </w:pBdr>
        <w:tabs>
          <w:tab w:val="left" w:pos="1710"/>
        </w:tabs>
        <w:spacing w:line="360" w:lineRule="auto"/>
        <w:rPr>
          <w:sz w:val="20"/>
        </w:rPr>
      </w:pPr>
      <w:r w:rsidRPr="004F4483">
        <w:rPr>
          <w:sz w:val="20"/>
        </w:rPr>
        <w:t>La media de los consultados otorga un valor de 6,69 puntos al nivel de importancia que tiene la innovación en su actividad empresarial.</w:t>
      </w:r>
    </w:p>
    <w:p w:rsidR="00A53340" w:rsidRDefault="00A53340" w:rsidP="00A53340">
      <w:pPr>
        <w:tabs>
          <w:tab w:val="left" w:pos="1710"/>
        </w:tabs>
        <w:spacing w:line="360" w:lineRule="auto"/>
        <w:rPr>
          <w:b/>
        </w:rPr>
      </w:pPr>
    </w:p>
    <w:p w:rsidR="00A53340" w:rsidRPr="004F4483" w:rsidRDefault="00A53340" w:rsidP="00A53340">
      <w:pPr>
        <w:tabs>
          <w:tab w:val="left" w:pos="1710"/>
        </w:tabs>
        <w:spacing w:line="360" w:lineRule="auto"/>
        <w:rPr>
          <w:b/>
        </w:rPr>
      </w:pPr>
      <w:r>
        <w:rPr>
          <w:b/>
        </w:rPr>
        <w:t>11</w:t>
      </w:r>
      <w:r w:rsidRPr="004F4483">
        <w:rPr>
          <w:b/>
        </w:rPr>
        <w:t xml:space="preserve">. ¿Cuenta su </w:t>
      </w:r>
      <w:r w:rsidR="00C931C2">
        <w:rPr>
          <w:b/>
        </w:rPr>
        <w:t>CEE</w:t>
      </w:r>
      <w:r w:rsidRPr="004F4483">
        <w:rPr>
          <w:b/>
        </w:rPr>
        <w:t xml:space="preserve"> con algún departamento o unidad de innovación y desarrollo?</w:t>
      </w:r>
    </w:p>
    <w:p w:rsidR="00A53340" w:rsidRPr="004F4483" w:rsidRDefault="00A53340" w:rsidP="00A53340">
      <w:pPr>
        <w:pBdr>
          <w:bottom w:val="single" w:sz="4" w:space="1" w:color="auto"/>
        </w:pBdr>
        <w:spacing w:line="360" w:lineRule="auto"/>
        <w:rPr>
          <w:i/>
        </w:rPr>
      </w:pPr>
      <w:r w:rsidRPr="004F4483">
        <w:rPr>
          <w:i/>
        </w:rPr>
        <w:t>Respondido: 121    Omitido: 19</w:t>
      </w:r>
    </w:p>
    <w:p w:rsidR="00A53340" w:rsidRPr="004F4483" w:rsidRDefault="00A53340" w:rsidP="00A53340">
      <w:pPr>
        <w:tabs>
          <w:tab w:val="left" w:pos="1710"/>
        </w:tabs>
        <w:spacing w:line="360" w:lineRule="auto"/>
        <w:rPr>
          <w:b/>
        </w:rPr>
      </w:pPr>
      <w:r>
        <w:rPr>
          <w:noProof/>
          <w:lang w:eastAsia="es-ES"/>
        </w:rPr>
        <w:drawing>
          <wp:inline distT="0" distB="0" distL="0" distR="0">
            <wp:extent cx="5402580" cy="1143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53340" w:rsidRPr="004F4483" w:rsidRDefault="00A53340" w:rsidP="00A53340">
      <w:pPr>
        <w:spacing w:line="360" w:lineRule="auto"/>
        <w:rPr>
          <w:sz w:val="20"/>
        </w:rPr>
      </w:pPr>
      <w:r w:rsidRPr="004F4483">
        <w:rPr>
          <w:sz w:val="20"/>
        </w:rPr>
        <w:t>Fuente: Elaboración propia</w:t>
      </w:r>
    </w:p>
    <w:p w:rsidR="00A53340" w:rsidRPr="00A53340" w:rsidRDefault="00A53340" w:rsidP="00A53340">
      <w:pPr>
        <w:pBdr>
          <w:bottom w:val="single" w:sz="4" w:space="1" w:color="auto"/>
        </w:pBdr>
        <w:tabs>
          <w:tab w:val="left" w:pos="1710"/>
        </w:tabs>
        <w:spacing w:line="360" w:lineRule="auto"/>
        <w:rPr>
          <w:sz w:val="20"/>
        </w:rPr>
      </w:pPr>
      <w:r w:rsidRPr="004F4483">
        <w:rPr>
          <w:sz w:val="20"/>
        </w:rPr>
        <w:t>Consultados acerca de si su Centro Especial de Empleo dispone de algún departamento o área de innovación y desarrollo, la gran mayoría de los consultados (81) afirma que no disponen de este tipo de instalaciones mientras que 29 de ellos afirman que sí disponen de ellas.</w:t>
      </w:r>
    </w:p>
    <w:p w:rsidR="00A53340" w:rsidRPr="00A53340" w:rsidRDefault="00A53340" w:rsidP="00A53340">
      <w:pPr>
        <w:pStyle w:val="Textoindependiente"/>
      </w:pPr>
    </w:p>
    <w:p w:rsidR="00241F75" w:rsidRDefault="008E50CB">
      <w:pPr>
        <w:pStyle w:val="Ttulo2"/>
        <w:rPr>
          <w:b w:val="0"/>
        </w:rPr>
      </w:pPr>
      <w:bookmarkStart w:id="242" w:name="_Toc410916885"/>
      <w:r w:rsidRPr="008E50CB">
        <w:t xml:space="preserve">¿En qué sectores actúan los </w:t>
      </w:r>
      <w:r w:rsidR="00263316">
        <w:t>Centros Especiales de Empleo</w:t>
      </w:r>
      <w:r w:rsidRPr="008E50CB">
        <w:t>?</w:t>
      </w:r>
      <w:bookmarkEnd w:id="240"/>
      <w:bookmarkEnd w:id="242"/>
    </w:p>
    <w:p w:rsidR="00867306" w:rsidRPr="00BE20A7" w:rsidRDefault="00867306" w:rsidP="00867306">
      <w:pPr>
        <w:pStyle w:val="Prrafodelista"/>
        <w:spacing w:line="360" w:lineRule="auto"/>
        <w:ind w:left="0"/>
        <w:jc w:val="both"/>
        <w:rPr>
          <w:sz w:val="24"/>
          <w:szCs w:val="24"/>
          <w:lang w:val="es-ES_tradnl"/>
        </w:rPr>
      </w:pPr>
    </w:p>
    <w:p w:rsidR="00867306" w:rsidRDefault="00867306" w:rsidP="00867306">
      <w:pPr>
        <w:pStyle w:val="Prrafodelista"/>
        <w:pBdr>
          <w:bottom w:val="single" w:sz="4" w:space="1" w:color="auto"/>
        </w:pBdr>
        <w:spacing w:before="360" w:line="360" w:lineRule="auto"/>
        <w:ind w:left="0"/>
        <w:rPr>
          <w:sz w:val="24"/>
          <w:szCs w:val="24"/>
          <w:lang w:val="es-ES_tradnl"/>
        </w:rPr>
      </w:pPr>
      <w:r w:rsidRPr="00BE20A7">
        <w:rPr>
          <w:sz w:val="24"/>
          <w:szCs w:val="24"/>
          <w:lang w:val="es-ES_tradnl"/>
        </w:rPr>
        <w:t xml:space="preserve">La actividad de los </w:t>
      </w:r>
      <w:r w:rsidR="009B2D94">
        <w:rPr>
          <w:sz w:val="24"/>
          <w:szCs w:val="24"/>
          <w:lang w:val="es-ES_tradnl"/>
        </w:rPr>
        <w:t>centros</w:t>
      </w:r>
      <w:r w:rsidRPr="00BE20A7">
        <w:rPr>
          <w:sz w:val="24"/>
          <w:szCs w:val="24"/>
          <w:lang w:val="es-ES_tradnl"/>
        </w:rPr>
        <w:t xml:space="preserve"> de Castilla y León se concentra sobre todo en los sectores de la industria manufacturera, el comercio al por mayor y al por menor, las actividades administrativas y servicios auxiliares, y otros servicios, que incluye actividades como lavado y limpieza de prendas textiles. </w:t>
      </w:r>
    </w:p>
    <w:p w:rsidR="003A3348" w:rsidRDefault="003A3348" w:rsidP="00867306">
      <w:pPr>
        <w:pStyle w:val="Prrafodelista"/>
        <w:pBdr>
          <w:bottom w:val="single" w:sz="4" w:space="1" w:color="auto"/>
        </w:pBdr>
        <w:spacing w:before="360" w:line="360" w:lineRule="auto"/>
        <w:ind w:left="0"/>
        <w:rPr>
          <w:sz w:val="24"/>
          <w:szCs w:val="24"/>
          <w:lang w:val="es-ES_tradnl"/>
        </w:rPr>
      </w:pPr>
    </w:p>
    <w:p w:rsidR="003A3348" w:rsidRPr="00BE20A7" w:rsidRDefault="003A3348" w:rsidP="00867306">
      <w:pPr>
        <w:pStyle w:val="Prrafodelista"/>
        <w:pBdr>
          <w:bottom w:val="single" w:sz="4" w:space="1" w:color="auto"/>
        </w:pBdr>
        <w:spacing w:before="360" w:line="360" w:lineRule="auto"/>
        <w:ind w:left="0"/>
        <w:rPr>
          <w:sz w:val="24"/>
          <w:szCs w:val="24"/>
          <w:lang w:val="es-ES_tradnl"/>
        </w:rPr>
      </w:pPr>
    </w:p>
    <w:p w:rsidR="00867306" w:rsidRPr="00BE20A7" w:rsidRDefault="00867306" w:rsidP="00867306">
      <w:pPr>
        <w:pStyle w:val="Prrafodelista"/>
        <w:spacing w:before="360" w:line="360" w:lineRule="auto"/>
        <w:ind w:left="0"/>
        <w:rPr>
          <w:b/>
          <w:lang w:val="es-ES_tradnl"/>
        </w:rPr>
      </w:pPr>
    </w:p>
    <w:p w:rsidR="00867306" w:rsidRPr="00BE20A7" w:rsidRDefault="00C931C2" w:rsidP="00842404">
      <w:pPr>
        <w:pStyle w:val="Prrafodelista"/>
        <w:spacing w:before="360" w:line="360" w:lineRule="auto"/>
        <w:ind w:left="-709"/>
        <w:jc w:val="center"/>
        <w:rPr>
          <w:lang w:val="es-ES_tradnl"/>
        </w:rPr>
      </w:pPr>
      <w:r>
        <w:rPr>
          <w:noProof/>
          <w:lang w:eastAsia="es-ES"/>
        </w:rPr>
        <w:drawing>
          <wp:inline distT="0" distB="0" distL="0" distR="0">
            <wp:extent cx="5175849" cy="2613804"/>
            <wp:effectExtent l="0" t="0" r="0" b="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D0CFB" w:rsidRPr="00BE20A7" w:rsidRDefault="003D0CFB" w:rsidP="003D0CFB">
      <w:pPr>
        <w:pStyle w:val="Prrafodelista"/>
        <w:spacing w:line="360" w:lineRule="auto"/>
        <w:ind w:left="0"/>
        <w:jc w:val="both"/>
        <w:rPr>
          <w:sz w:val="20"/>
          <w:lang w:val="es-ES_tradnl"/>
        </w:rPr>
      </w:pPr>
      <w:r w:rsidRPr="00BE20A7">
        <w:rPr>
          <w:sz w:val="20"/>
          <w:lang w:val="es-ES_tradnl"/>
        </w:rPr>
        <w:t>Fuente: elaboración propia</w:t>
      </w:r>
    </w:p>
    <w:p w:rsidR="003D0CFB" w:rsidRPr="00BE20A7" w:rsidRDefault="003D0CFB" w:rsidP="003D0CFB">
      <w:pPr>
        <w:pStyle w:val="Prrafodelista"/>
        <w:pBdr>
          <w:bottom w:val="single" w:sz="4" w:space="1" w:color="auto"/>
        </w:pBdr>
        <w:spacing w:line="360" w:lineRule="auto"/>
        <w:ind w:left="0"/>
        <w:jc w:val="both"/>
        <w:rPr>
          <w:sz w:val="20"/>
          <w:lang w:val="es-ES_tradnl"/>
        </w:rPr>
      </w:pPr>
      <w:r>
        <w:rPr>
          <w:sz w:val="20"/>
          <w:lang w:val="es-ES_tradnl"/>
        </w:rPr>
        <w:t xml:space="preserve">Nota </w:t>
      </w:r>
      <w:r w:rsidRPr="00BE20A7">
        <w:rPr>
          <w:sz w:val="20"/>
          <w:lang w:val="es-ES_tradnl"/>
        </w:rPr>
        <w:t xml:space="preserve">explicativa de la gráfica: Eje vertical: porcentaje de </w:t>
      </w:r>
      <w:r>
        <w:rPr>
          <w:sz w:val="20"/>
          <w:lang w:val="es-ES_tradnl"/>
        </w:rPr>
        <w:t>CEEs</w:t>
      </w:r>
      <w:r w:rsidRPr="00BE20A7">
        <w:rPr>
          <w:sz w:val="20"/>
          <w:lang w:val="es-ES_tradnl"/>
        </w:rPr>
        <w:t xml:space="preserve"> que se dedica a cada sector. Eje horizontal: sectores de actividad</w:t>
      </w:r>
      <w:r>
        <w:rPr>
          <w:sz w:val="20"/>
          <w:lang w:val="es-ES_tradnl"/>
        </w:rPr>
        <w:t xml:space="preserve">: un 1% de los CEEs se dedica a actividades de agricultura, ganadería, silvicultura y pesca; un 22% de los CEEs se dedica a actividades de la industria manufacturera; un 2% de los CEEs se dedica a actividades de agua, saneamiento, gestión de residuos y descontaminación; un 2% de los CEEs se dedica a actividades de construcción; un 15% de los CEEs se dedica a actividades de comercio al por mayor, al por menor y reparación de vehículos de motor; un 5% de los CEEs se dedica a actividades de transporte y almacenamiento; un 1% de los CEEs se dedica a actividades de hostelería; un 3% de los CEEs se dedica a actividades de información y comunicaciones; un 1% de los CEEs se dedica a actividades financieras y de seguros; un 4% de los CEEs se dedica a actividades profesionales, científicas y técnicas; un 28% de los CEEs se dedica a actividades administrativas y de servicios auxiliares; un 1% de los CEEs se dedica a actividades de educación; un 3% de los CEEs se dedica a actividades sanitarias y de servicios sociales; un 1% de los CEEs se dedica a actividades artísticas, recreativas y de entretenimiento; y un 11% de los CEEs se dedica a otros servicios. </w:t>
      </w:r>
    </w:p>
    <w:p w:rsidR="003D0CFB" w:rsidRPr="00842404" w:rsidRDefault="003D0CFB" w:rsidP="003D0CFB">
      <w:pPr>
        <w:pStyle w:val="Prrafodelista"/>
        <w:spacing w:before="360" w:line="360" w:lineRule="auto"/>
        <w:ind w:left="0"/>
        <w:rPr>
          <w:sz w:val="18"/>
          <w:szCs w:val="18"/>
          <w:lang w:val="es-ES_tradnl"/>
        </w:rPr>
      </w:pPr>
      <w:r w:rsidRPr="00842404">
        <w:rPr>
          <w:sz w:val="18"/>
          <w:szCs w:val="18"/>
          <w:lang w:val="es-ES_tradnl"/>
        </w:rPr>
        <w:t>Datos de 2013</w:t>
      </w:r>
    </w:p>
    <w:p w:rsidR="00C931C2" w:rsidRDefault="00C931C2" w:rsidP="00867306">
      <w:pPr>
        <w:pStyle w:val="Prrafodelista"/>
        <w:pBdr>
          <w:bottom w:val="single" w:sz="4" w:space="1" w:color="auto"/>
        </w:pBdr>
        <w:spacing w:line="360" w:lineRule="auto"/>
        <w:ind w:left="0"/>
        <w:jc w:val="both"/>
        <w:rPr>
          <w:sz w:val="24"/>
          <w:szCs w:val="24"/>
          <w:lang w:val="es-ES_tradnl"/>
        </w:rPr>
      </w:pPr>
    </w:p>
    <w:p w:rsidR="00867306" w:rsidRPr="00BE20A7" w:rsidRDefault="00867306" w:rsidP="00867306">
      <w:pPr>
        <w:pStyle w:val="Prrafodelista"/>
        <w:pBdr>
          <w:bottom w:val="single" w:sz="4" w:space="1" w:color="auto"/>
        </w:pBdr>
        <w:spacing w:line="360" w:lineRule="auto"/>
        <w:ind w:left="0"/>
        <w:jc w:val="both"/>
        <w:rPr>
          <w:sz w:val="24"/>
          <w:szCs w:val="24"/>
          <w:lang w:val="es-ES_tradnl"/>
        </w:rPr>
      </w:pPr>
      <w:r w:rsidRPr="00BE20A7">
        <w:rPr>
          <w:sz w:val="24"/>
          <w:szCs w:val="24"/>
          <w:lang w:val="es-ES_tradnl"/>
        </w:rPr>
        <w:t xml:space="preserve">Esos sectores siguen siendo los principales si hacemos una división de los </w:t>
      </w:r>
      <w:r w:rsidR="00A95742">
        <w:rPr>
          <w:sz w:val="24"/>
          <w:szCs w:val="24"/>
          <w:lang w:val="es-ES_tradnl"/>
        </w:rPr>
        <w:t>CEEs</w:t>
      </w:r>
      <w:r w:rsidRPr="00BE20A7">
        <w:rPr>
          <w:sz w:val="24"/>
          <w:szCs w:val="24"/>
          <w:lang w:val="es-ES_tradnl"/>
        </w:rPr>
        <w:t xml:space="preserve"> según si son de iniciativa social o privada. </w:t>
      </w:r>
    </w:p>
    <w:p w:rsidR="00867306" w:rsidRPr="00BE20A7" w:rsidRDefault="00867306" w:rsidP="00867306">
      <w:pPr>
        <w:pStyle w:val="Prrafodelista"/>
        <w:pBdr>
          <w:bottom w:val="single" w:sz="4" w:space="1" w:color="auto"/>
        </w:pBdr>
        <w:spacing w:before="360" w:line="360" w:lineRule="auto"/>
        <w:ind w:left="0"/>
        <w:rPr>
          <w:sz w:val="24"/>
          <w:szCs w:val="24"/>
          <w:lang w:val="es-ES_tradnl"/>
        </w:rPr>
      </w:pPr>
    </w:p>
    <w:p w:rsidR="00867306" w:rsidRDefault="00867306" w:rsidP="00867306">
      <w:pPr>
        <w:pStyle w:val="Prrafodelista"/>
        <w:spacing w:before="360" w:line="360" w:lineRule="auto"/>
        <w:ind w:left="-567"/>
        <w:rPr>
          <w:noProof/>
          <w:lang w:eastAsia="es-ES"/>
        </w:rPr>
      </w:pPr>
    </w:p>
    <w:p w:rsidR="00867306" w:rsidRPr="00BE20A7" w:rsidRDefault="00C931C2" w:rsidP="00842404">
      <w:pPr>
        <w:pStyle w:val="Prrafodelista"/>
        <w:spacing w:before="360" w:line="360" w:lineRule="auto"/>
        <w:ind w:left="-567"/>
        <w:jc w:val="center"/>
      </w:pPr>
      <w:r>
        <w:rPr>
          <w:noProof/>
          <w:lang w:eastAsia="es-ES"/>
        </w:rPr>
        <w:drawing>
          <wp:inline distT="0" distB="0" distL="0" distR="0">
            <wp:extent cx="5149970" cy="2674188"/>
            <wp:effectExtent l="0" t="0" r="0" b="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67306" w:rsidRPr="00BE20A7" w:rsidRDefault="00867306" w:rsidP="00867306">
      <w:pPr>
        <w:pStyle w:val="Prrafodelista"/>
        <w:spacing w:line="360" w:lineRule="auto"/>
        <w:ind w:left="0"/>
        <w:jc w:val="both"/>
        <w:rPr>
          <w:sz w:val="20"/>
          <w:lang w:val="es-ES_tradnl"/>
        </w:rPr>
      </w:pPr>
      <w:r w:rsidRPr="00BE20A7">
        <w:rPr>
          <w:sz w:val="20"/>
          <w:lang w:val="es-ES_tradnl"/>
        </w:rPr>
        <w:t>Fuente: elaboración propia</w:t>
      </w:r>
    </w:p>
    <w:p w:rsidR="00867306" w:rsidRPr="00867306"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 la gráfica: Eje vertical: porcentaje de </w:t>
      </w:r>
      <w:r w:rsidR="00A95742">
        <w:rPr>
          <w:sz w:val="20"/>
          <w:lang w:val="es-ES_tradnl"/>
        </w:rPr>
        <w:t>CEEs</w:t>
      </w:r>
      <w:r w:rsidR="00867306" w:rsidRPr="00BE20A7">
        <w:rPr>
          <w:sz w:val="20"/>
          <w:lang w:val="es-ES_tradnl"/>
        </w:rPr>
        <w:t xml:space="preserve"> que se dedica a cada sector. Eje horizontal: sectores de actividad</w:t>
      </w:r>
    </w:p>
    <w:p w:rsidR="00C931C2" w:rsidRDefault="0068703A" w:rsidP="00867306">
      <w:pPr>
        <w:pStyle w:val="Prrafodelista"/>
        <w:spacing w:before="360" w:line="360" w:lineRule="auto"/>
        <w:ind w:left="0"/>
        <w:rPr>
          <w:sz w:val="18"/>
          <w:szCs w:val="18"/>
          <w:lang w:val="es-ES_tradnl"/>
        </w:rPr>
      </w:pPr>
      <w:r w:rsidRPr="00842404">
        <w:rPr>
          <w:sz w:val="18"/>
          <w:szCs w:val="18"/>
          <w:lang w:val="es-ES_tradnl"/>
        </w:rPr>
        <w:t>Datos de 2013</w:t>
      </w:r>
    </w:p>
    <w:p w:rsidR="00C931C2" w:rsidRPr="00842404" w:rsidRDefault="00C931C2" w:rsidP="00867306">
      <w:pPr>
        <w:pStyle w:val="Prrafodelista"/>
        <w:spacing w:before="360" w:line="360" w:lineRule="auto"/>
        <w:ind w:left="0"/>
        <w:rPr>
          <w:sz w:val="18"/>
          <w:szCs w:val="18"/>
          <w:lang w:val="es-ES_tradnl"/>
        </w:rPr>
      </w:pPr>
    </w:p>
    <w:p w:rsidR="00867306" w:rsidRPr="00BE20A7" w:rsidRDefault="00C931C2" w:rsidP="00842404">
      <w:pPr>
        <w:pStyle w:val="Prrafodelista"/>
        <w:spacing w:before="360" w:line="360" w:lineRule="auto"/>
        <w:ind w:left="-709"/>
        <w:jc w:val="center"/>
        <w:rPr>
          <w:lang w:val="es-ES_tradnl"/>
        </w:rPr>
      </w:pPr>
      <w:r>
        <w:rPr>
          <w:noProof/>
          <w:lang w:eastAsia="es-ES"/>
        </w:rPr>
        <w:drawing>
          <wp:inline distT="0" distB="0" distL="0" distR="0">
            <wp:extent cx="5995359" cy="2355011"/>
            <wp:effectExtent l="0" t="0" r="0" b="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67306" w:rsidRPr="00BE20A7" w:rsidRDefault="00867306" w:rsidP="00867306">
      <w:pPr>
        <w:pStyle w:val="Prrafodelista"/>
        <w:spacing w:before="360" w:line="360" w:lineRule="auto"/>
        <w:ind w:left="0"/>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before="360" w:line="360" w:lineRule="auto"/>
        <w:ind w:left="0"/>
        <w:rPr>
          <w:sz w:val="20"/>
          <w:lang w:val="es-ES_tradnl"/>
        </w:rPr>
      </w:pPr>
      <w:r>
        <w:rPr>
          <w:sz w:val="20"/>
          <w:lang w:val="es-ES_tradnl"/>
        </w:rPr>
        <w:t xml:space="preserve">Nota </w:t>
      </w:r>
      <w:r w:rsidR="00867306" w:rsidRPr="00BE20A7">
        <w:rPr>
          <w:sz w:val="20"/>
          <w:lang w:val="es-ES_tradnl"/>
        </w:rPr>
        <w:t xml:space="preserve">explicativa de la gráfica: Eje vertical: porcentaje de </w:t>
      </w:r>
      <w:r w:rsidR="00A95742">
        <w:rPr>
          <w:sz w:val="20"/>
          <w:lang w:val="es-ES_tradnl"/>
        </w:rPr>
        <w:t>CEEs</w:t>
      </w:r>
      <w:r w:rsidR="00867306" w:rsidRPr="00BE20A7">
        <w:rPr>
          <w:sz w:val="20"/>
          <w:lang w:val="es-ES_tradnl"/>
        </w:rPr>
        <w:t xml:space="preserve"> que se dedica a cada sector. Eje horizontal: sectores de actividad</w:t>
      </w:r>
    </w:p>
    <w:p w:rsidR="003A43F6" w:rsidRPr="00BE20A7" w:rsidRDefault="00637B07" w:rsidP="00867306">
      <w:pPr>
        <w:pStyle w:val="Prrafodelista"/>
        <w:spacing w:line="360" w:lineRule="auto"/>
        <w:ind w:left="0"/>
        <w:rPr>
          <w:b/>
          <w:sz w:val="24"/>
          <w:szCs w:val="24"/>
          <w:lang w:val="es-ES_tradnl"/>
        </w:rPr>
      </w:pPr>
      <w:r w:rsidRPr="00842404">
        <w:rPr>
          <w:sz w:val="18"/>
          <w:szCs w:val="18"/>
          <w:lang w:val="es-ES_tradnl"/>
        </w:rPr>
        <w:t>Datos de 2013</w:t>
      </w:r>
    </w:p>
    <w:p w:rsidR="00867306" w:rsidRPr="00BE20A7" w:rsidRDefault="00867306" w:rsidP="00B41A93">
      <w:pPr>
        <w:pStyle w:val="Ttulo3"/>
        <w:rPr>
          <w:sz w:val="20"/>
          <w:lang w:val="es-ES_tradnl"/>
        </w:rPr>
      </w:pPr>
      <w:bookmarkStart w:id="243" w:name="_Toc410916886"/>
      <w:r>
        <w:rPr>
          <w:lang w:val="es-ES_tradnl"/>
        </w:rPr>
        <w:t>Evaluación por sector</w:t>
      </w:r>
      <w:bookmarkEnd w:id="243"/>
    </w:p>
    <w:p w:rsidR="00867306" w:rsidRPr="00BE20A7" w:rsidRDefault="00867306" w:rsidP="00867306">
      <w:pPr>
        <w:pStyle w:val="Prrafodelista"/>
        <w:spacing w:line="360" w:lineRule="auto"/>
        <w:ind w:left="0"/>
        <w:jc w:val="both"/>
        <w:rPr>
          <w:sz w:val="24"/>
          <w:szCs w:val="24"/>
          <w:lang w:val="es-ES_tradnl"/>
        </w:rPr>
      </w:pPr>
    </w:p>
    <w:p w:rsidR="00C10433" w:rsidRPr="00BE20A7"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Al examinar los resultados de los </w:t>
      </w:r>
      <w:r w:rsidR="00A95742">
        <w:rPr>
          <w:sz w:val="24"/>
          <w:szCs w:val="24"/>
          <w:lang w:val="es-ES_tradnl"/>
        </w:rPr>
        <w:t>CEEs</w:t>
      </w:r>
      <w:r w:rsidRPr="00BE20A7">
        <w:rPr>
          <w:sz w:val="24"/>
          <w:szCs w:val="24"/>
          <w:lang w:val="es-ES_tradnl"/>
        </w:rPr>
        <w:t xml:space="preserve"> por sector de actividad, no se observa demasiada varianza en las puntuaciones globales con respecto a la </w:t>
      </w:r>
      <w:r w:rsidR="00B819FD">
        <w:rPr>
          <w:sz w:val="24"/>
          <w:szCs w:val="24"/>
          <w:lang w:val="es-ES_tradnl"/>
        </w:rPr>
        <w:t>calificación</w:t>
      </w:r>
      <w:r w:rsidRPr="00BE20A7">
        <w:rPr>
          <w:sz w:val="24"/>
          <w:szCs w:val="24"/>
          <w:lang w:val="es-ES_tradnl"/>
        </w:rPr>
        <w:t xml:space="preserve"> media</w:t>
      </w:r>
      <w:r w:rsidR="009B2D94">
        <w:rPr>
          <w:sz w:val="24"/>
          <w:szCs w:val="24"/>
          <w:lang w:val="es-ES_tradnl"/>
        </w:rPr>
        <w:t>.</w:t>
      </w:r>
      <w:r w:rsidRPr="00BE20A7">
        <w:rPr>
          <w:sz w:val="24"/>
          <w:szCs w:val="24"/>
          <w:lang w:val="es-ES_tradnl"/>
        </w:rPr>
        <w:t xml:space="preserve"> </w:t>
      </w:r>
      <w:r w:rsidR="00C10433">
        <w:rPr>
          <w:sz w:val="24"/>
          <w:szCs w:val="24"/>
          <w:lang w:val="es-ES_tradnl"/>
        </w:rPr>
        <w:t>Las</w:t>
      </w:r>
      <w:r w:rsidR="00C10433" w:rsidRPr="00C10433">
        <w:rPr>
          <w:sz w:val="24"/>
          <w:szCs w:val="24"/>
          <w:lang w:val="es-ES_tradnl"/>
        </w:rPr>
        <w:t xml:space="preserve"> muestra</w:t>
      </w:r>
      <w:r w:rsidR="00C10433">
        <w:rPr>
          <w:sz w:val="24"/>
          <w:szCs w:val="24"/>
          <w:lang w:val="es-ES_tradnl"/>
        </w:rPr>
        <w:t>s</w:t>
      </w:r>
      <w:r w:rsidR="00C10433" w:rsidRPr="00C10433">
        <w:rPr>
          <w:sz w:val="24"/>
          <w:szCs w:val="24"/>
          <w:lang w:val="es-ES_tradnl"/>
        </w:rPr>
        <w:t xml:space="preserve"> de </w:t>
      </w:r>
      <w:r w:rsidR="00A95742">
        <w:rPr>
          <w:sz w:val="24"/>
          <w:szCs w:val="24"/>
          <w:lang w:val="es-ES_tradnl"/>
        </w:rPr>
        <w:t>CEEs</w:t>
      </w:r>
      <w:r w:rsidR="00C10433" w:rsidRPr="00C10433">
        <w:rPr>
          <w:sz w:val="24"/>
          <w:szCs w:val="24"/>
          <w:lang w:val="es-ES_tradnl"/>
        </w:rPr>
        <w:t xml:space="preserve"> de los sectores de agricultura y ganadería, actividades financieras </w:t>
      </w:r>
      <w:r w:rsidR="005A76C3">
        <w:rPr>
          <w:sz w:val="24"/>
          <w:szCs w:val="24"/>
          <w:lang w:val="es-ES_tradnl"/>
        </w:rPr>
        <w:t>y de seguros</w:t>
      </w:r>
      <w:r w:rsidR="00C10433" w:rsidRPr="00C10433">
        <w:rPr>
          <w:sz w:val="24"/>
          <w:szCs w:val="24"/>
          <w:lang w:val="es-ES_tradnl"/>
        </w:rPr>
        <w:t>, educación, y activid</w:t>
      </w:r>
      <w:r w:rsidR="00C10433">
        <w:rPr>
          <w:sz w:val="24"/>
          <w:szCs w:val="24"/>
          <w:lang w:val="es-ES_tradnl"/>
        </w:rPr>
        <w:t xml:space="preserve">ades artísticas y recreativas, </w:t>
      </w:r>
      <w:r w:rsidR="00C10433" w:rsidRPr="00C10433">
        <w:rPr>
          <w:sz w:val="24"/>
          <w:szCs w:val="24"/>
          <w:lang w:val="es-ES_tradnl"/>
        </w:rPr>
        <w:t>s</w:t>
      </w:r>
      <w:r w:rsidR="00C10433">
        <w:rPr>
          <w:sz w:val="24"/>
          <w:szCs w:val="24"/>
          <w:lang w:val="es-ES_tradnl"/>
        </w:rPr>
        <w:t>on</w:t>
      </w:r>
      <w:r w:rsidR="00C10433" w:rsidRPr="00C10433">
        <w:rPr>
          <w:sz w:val="24"/>
          <w:szCs w:val="24"/>
          <w:lang w:val="es-ES_tradnl"/>
        </w:rPr>
        <w:t xml:space="preserve"> demasiado pequeña</w:t>
      </w:r>
      <w:r w:rsidR="005A76C3">
        <w:rPr>
          <w:sz w:val="24"/>
          <w:szCs w:val="24"/>
          <w:lang w:val="es-ES_tradnl"/>
        </w:rPr>
        <w:t xml:space="preserve">s (uno o dos </w:t>
      </w:r>
      <w:r w:rsidR="00A95742">
        <w:rPr>
          <w:sz w:val="24"/>
          <w:szCs w:val="24"/>
          <w:lang w:val="es-ES_tradnl"/>
        </w:rPr>
        <w:t>CEEs</w:t>
      </w:r>
      <w:r w:rsidR="00C10433">
        <w:rPr>
          <w:sz w:val="24"/>
          <w:szCs w:val="24"/>
          <w:lang w:val="es-ES_tradnl"/>
        </w:rPr>
        <w:t xml:space="preserve"> para cada uno de esos sectores)</w:t>
      </w:r>
      <w:r w:rsidR="00C10433" w:rsidRPr="00C10433">
        <w:rPr>
          <w:sz w:val="24"/>
          <w:szCs w:val="24"/>
          <w:lang w:val="es-ES_tradnl"/>
        </w:rPr>
        <w:t xml:space="preserve"> como para extraer conclusiones. </w:t>
      </w:r>
      <w:r w:rsidR="00C10433">
        <w:rPr>
          <w:sz w:val="24"/>
          <w:szCs w:val="24"/>
          <w:lang w:val="es-ES_tradnl"/>
        </w:rPr>
        <w:t xml:space="preserve">Por lo tanto, los resultados de esos sectores </w:t>
      </w:r>
      <w:r w:rsidR="00447330">
        <w:rPr>
          <w:sz w:val="24"/>
          <w:szCs w:val="24"/>
          <w:lang w:val="es-ES_tradnl"/>
        </w:rPr>
        <w:t xml:space="preserve">sobresalgan </w:t>
      </w:r>
      <w:r w:rsidR="00C10433">
        <w:rPr>
          <w:sz w:val="24"/>
          <w:szCs w:val="24"/>
          <w:lang w:val="es-ES_tradnl"/>
        </w:rPr>
        <w:t xml:space="preserve">en el análisis, como ocurre en el caso de las puntuaciones globales por sector, </w:t>
      </w:r>
      <w:r w:rsidR="009B2D94">
        <w:rPr>
          <w:sz w:val="24"/>
          <w:szCs w:val="24"/>
          <w:lang w:val="es-ES_tradnl"/>
        </w:rPr>
        <w:t>no deben ser tomados</w:t>
      </w:r>
      <w:r w:rsidR="00C10433">
        <w:rPr>
          <w:sz w:val="24"/>
          <w:szCs w:val="24"/>
          <w:lang w:val="es-ES_tradnl"/>
        </w:rPr>
        <w:t xml:space="preserve"> en consideración</w:t>
      </w:r>
      <w:r w:rsidR="00447330">
        <w:rPr>
          <w:sz w:val="24"/>
          <w:szCs w:val="24"/>
          <w:lang w:val="es-ES_tradnl"/>
        </w:rPr>
        <w:t xml:space="preserve"> </w:t>
      </w:r>
      <w:r w:rsidR="005A76C3">
        <w:rPr>
          <w:sz w:val="24"/>
          <w:szCs w:val="24"/>
          <w:lang w:val="es-ES_tradnl"/>
        </w:rPr>
        <w:t>a la hora de hacer conclusiones</w:t>
      </w:r>
      <w:r w:rsidR="00C10433">
        <w:rPr>
          <w:sz w:val="24"/>
          <w:szCs w:val="24"/>
          <w:lang w:val="es-ES_tradnl"/>
        </w:rPr>
        <w:t>.</w:t>
      </w:r>
    </w:p>
    <w:p w:rsidR="00867306" w:rsidRPr="00BE20A7" w:rsidRDefault="00867306" w:rsidP="00867306">
      <w:pPr>
        <w:pStyle w:val="Prrafodelista"/>
        <w:spacing w:line="360" w:lineRule="auto"/>
        <w:ind w:left="0"/>
        <w:jc w:val="both"/>
        <w:rPr>
          <w:sz w:val="24"/>
          <w:szCs w:val="24"/>
          <w:lang w:val="es-ES_tradnl"/>
        </w:rPr>
      </w:pPr>
    </w:p>
    <w:p w:rsidR="00867306" w:rsidRPr="00BE20A7" w:rsidRDefault="00C10433" w:rsidP="00867306">
      <w:pPr>
        <w:pStyle w:val="Prrafodelista"/>
        <w:pBdr>
          <w:bottom w:val="single" w:sz="4" w:space="1" w:color="auto"/>
        </w:pBdr>
        <w:spacing w:line="360" w:lineRule="auto"/>
        <w:ind w:left="0"/>
        <w:jc w:val="both"/>
        <w:rPr>
          <w:sz w:val="24"/>
          <w:szCs w:val="24"/>
          <w:lang w:val="es-ES_tradnl"/>
        </w:rPr>
      </w:pPr>
      <w:r>
        <w:rPr>
          <w:sz w:val="24"/>
          <w:szCs w:val="24"/>
          <w:lang w:val="es-ES_tradnl"/>
        </w:rPr>
        <w:t xml:space="preserve">Las </w:t>
      </w:r>
      <w:r w:rsidR="0000186C">
        <w:rPr>
          <w:sz w:val="24"/>
          <w:szCs w:val="24"/>
          <w:lang w:val="es-ES_tradnl"/>
        </w:rPr>
        <w:t>industrias</w:t>
      </w:r>
      <w:r w:rsidR="00867306" w:rsidRPr="00BE20A7">
        <w:rPr>
          <w:sz w:val="24"/>
          <w:szCs w:val="24"/>
          <w:lang w:val="es-ES_tradnl"/>
        </w:rPr>
        <w:t xml:space="preserve"> que quedan ligeramente por encima de la media en cuanto a su resultado global son la industria manufacturera y el sector de actividades de suministro de agua, saneamiento y gestión de residuos, así como el de actividades sanitarias y de servicios sociales.</w:t>
      </w:r>
    </w:p>
    <w:p w:rsidR="00867306" w:rsidRPr="00BE20A7" w:rsidRDefault="00867306" w:rsidP="00867306">
      <w:pPr>
        <w:pStyle w:val="Prrafodelista"/>
        <w:pBdr>
          <w:bottom w:val="single" w:sz="4" w:space="1" w:color="auto"/>
        </w:pBdr>
        <w:spacing w:line="360" w:lineRule="auto"/>
        <w:ind w:left="0"/>
        <w:rPr>
          <w:sz w:val="24"/>
          <w:szCs w:val="24"/>
          <w:lang w:val="es-ES_tradnl"/>
        </w:rPr>
      </w:pPr>
    </w:p>
    <w:p w:rsidR="00867306" w:rsidRPr="00BE20A7" w:rsidRDefault="003A7D46" w:rsidP="00B41A93">
      <w:pPr>
        <w:pStyle w:val="Prrafodelista"/>
        <w:spacing w:before="360" w:line="360" w:lineRule="auto"/>
        <w:ind w:left="0"/>
        <w:rPr>
          <w:sz w:val="24"/>
          <w:szCs w:val="24"/>
          <w:lang w:val="es-ES_tradnl"/>
        </w:rPr>
      </w:pPr>
      <w:r>
        <w:rPr>
          <w:noProof/>
          <w:sz w:val="24"/>
          <w:szCs w:val="24"/>
          <w:lang w:eastAsia="es-ES"/>
        </w:rPr>
        <w:drawing>
          <wp:inline distT="0" distB="0" distL="0" distR="0">
            <wp:extent cx="5402580" cy="2727960"/>
            <wp:effectExtent l="1905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a:stretch>
                      <a:fillRect/>
                    </a:stretch>
                  </pic:blipFill>
                  <pic:spPr bwMode="auto">
                    <a:xfrm>
                      <a:off x="0" y="0"/>
                      <a:ext cx="5402580" cy="2727960"/>
                    </a:xfrm>
                    <a:prstGeom prst="rect">
                      <a:avLst/>
                    </a:prstGeom>
                    <a:noFill/>
                    <a:ln w="9525">
                      <a:noFill/>
                      <a:miter lim="800000"/>
                      <a:headEnd/>
                      <a:tailEnd/>
                    </a:ln>
                  </pic:spPr>
                </pic:pic>
              </a:graphicData>
            </a:graphic>
          </wp:inline>
        </w:drawing>
      </w:r>
    </w:p>
    <w:p w:rsidR="00867306" w:rsidRPr="00BE20A7" w:rsidRDefault="00867306" w:rsidP="00867306">
      <w:pPr>
        <w:pStyle w:val="Prrafodelista"/>
        <w:spacing w:before="360" w:line="360" w:lineRule="auto"/>
        <w:ind w:left="-993"/>
        <w:rPr>
          <w:lang w:val="es-ES_tradnl"/>
        </w:rPr>
      </w:pPr>
    </w:p>
    <w:p w:rsidR="00867306" w:rsidRPr="00BE20A7" w:rsidRDefault="00867306" w:rsidP="00867306">
      <w:pPr>
        <w:pStyle w:val="Prrafodelista"/>
        <w:spacing w:before="360" w:line="360" w:lineRule="auto"/>
        <w:ind w:left="0"/>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before="360" w:line="360" w:lineRule="auto"/>
        <w:ind w:left="0"/>
        <w:rPr>
          <w:sz w:val="20"/>
          <w:lang w:val="es-ES_tradnl"/>
        </w:rPr>
      </w:pPr>
      <w:r>
        <w:rPr>
          <w:sz w:val="20"/>
          <w:lang w:val="es-ES_tradnl"/>
        </w:rPr>
        <w:t xml:space="preserve">Nota </w:t>
      </w:r>
      <w:r w:rsidR="00867306" w:rsidRPr="00BE20A7">
        <w:rPr>
          <w:sz w:val="20"/>
          <w:lang w:val="es-ES_tradnl"/>
        </w:rPr>
        <w:t xml:space="preserve">explicativa de la gráfica: Eje vertical: puntuación global media de los </w:t>
      </w:r>
      <w:r w:rsidR="00A95742">
        <w:rPr>
          <w:sz w:val="20"/>
          <w:lang w:val="es-ES_tradnl"/>
        </w:rPr>
        <w:t>CEEs</w:t>
      </w:r>
      <w:r w:rsidR="00867306" w:rsidRPr="00BE20A7">
        <w:rPr>
          <w:sz w:val="20"/>
          <w:lang w:val="es-ES_tradnl"/>
        </w:rPr>
        <w:t xml:space="preserve"> de cada sector. Eje horizontal: sectores de actividad</w:t>
      </w:r>
    </w:p>
    <w:p w:rsidR="0068703A" w:rsidRPr="00842404" w:rsidRDefault="0068703A" w:rsidP="0068703A">
      <w:pPr>
        <w:pStyle w:val="Prrafodelista"/>
        <w:spacing w:before="360" w:line="360" w:lineRule="auto"/>
        <w:ind w:left="0"/>
        <w:rPr>
          <w:sz w:val="18"/>
          <w:szCs w:val="18"/>
          <w:lang w:val="es-ES_tradnl"/>
        </w:rPr>
      </w:pPr>
      <w:r w:rsidRPr="00842404">
        <w:rPr>
          <w:sz w:val="18"/>
          <w:szCs w:val="18"/>
          <w:lang w:val="es-ES_tradnl"/>
        </w:rPr>
        <w:t xml:space="preserve">Datos de </w:t>
      </w:r>
      <w:r>
        <w:rPr>
          <w:sz w:val="18"/>
          <w:szCs w:val="18"/>
          <w:lang w:val="es-ES_tradnl"/>
        </w:rPr>
        <w:t>2011-</w:t>
      </w:r>
      <w:r w:rsidRPr="00842404">
        <w:rPr>
          <w:sz w:val="18"/>
          <w:szCs w:val="18"/>
          <w:lang w:val="es-ES_tradnl"/>
        </w:rPr>
        <w:t>2013</w:t>
      </w:r>
    </w:p>
    <w:p w:rsidR="00C931C2" w:rsidRPr="00842404" w:rsidRDefault="00C931C2" w:rsidP="00867306">
      <w:pPr>
        <w:pStyle w:val="Prrafodelista"/>
        <w:spacing w:before="360" w:line="360" w:lineRule="auto"/>
        <w:ind w:left="0"/>
        <w:rPr>
          <w:sz w:val="18"/>
          <w:szCs w:val="18"/>
          <w:lang w:val="es-ES_tradnl"/>
        </w:rPr>
      </w:pPr>
    </w:p>
    <w:p w:rsidR="00867306" w:rsidRPr="00BE20A7" w:rsidRDefault="00867306" w:rsidP="005A76C3">
      <w:pPr>
        <w:pStyle w:val="Prrafodelista"/>
        <w:spacing w:line="360" w:lineRule="auto"/>
        <w:ind w:left="0"/>
        <w:jc w:val="both"/>
        <w:rPr>
          <w:sz w:val="24"/>
          <w:szCs w:val="24"/>
          <w:lang w:val="es-ES_tradnl"/>
        </w:rPr>
      </w:pPr>
      <w:r w:rsidRPr="00BE20A7">
        <w:rPr>
          <w:sz w:val="24"/>
          <w:szCs w:val="24"/>
          <w:lang w:val="es-ES_tradnl"/>
        </w:rPr>
        <w:t xml:space="preserve">Existe un poco más de varianza entre las puntuaciones financieras medias de los sectores con respecto a la puntuación media de todos los </w:t>
      </w:r>
      <w:r w:rsidR="00A95742">
        <w:rPr>
          <w:sz w:val="24"/>
          <w:szCs w:val="24"/>
          <w:lang w:val="es-ES_tradnl"/>
        </w:rPr>
        <w:t>CEEs</w:t>
      </w:r>
      <w:r w:rsidR="000667E7">
        <w:rPr>
          <w:sz w:val="24"/>
          <w:szCs w:val="24"/>
          <w:lang w:val="es-ES_tradnl"/>
        </w:rPr>
        <w:t>.</w:t>
      </w:r>
      <w:r w:rsidRPr="00BE20A7">
        <w:rPr>
          <w:sz w:val="24"/>
          <w:szCs w:val="24"/>
          <w:lang w:val="es-ES_tradnl"/>
        </w:rPr>
        <w:t xml:space="preserve"> De nuevo, la industria manufacturera y el sector de actividades sanitarias y de servicios sociales quedan ligeramente por encima de la media.</w:t>
      </w:r>
      <w:r w:rsidR="00007982" w:rsidRPr="00BE20A7">
        <w:rPr>
          <w:sz w:val="24"/>
          <w:szCs w:val="24"/>
          <w:lang w:val="es-ES_tradnl"/>
        </w:rPr>
        <w:t xml:space="preserve"> </w:t>
      </w:r>
    </w:p>
    <w:p w:rsidR="00867306" w:rsidRPr="00BE20A7" w:rsidRDefault="003A7D46" w:rsidP="00867306">
      <w:pPr>
        <w:pStyle w:val="Prrafodelista"/>
        <w:spacing w:before="360" w:line="360" w:lineRule="auto"/>
        <w:ind w:left="-993"/>
        <w:rPr>
          <w:lang w:val="es-ES_tradnl"/>
        </w:rPr>
      </w:pPr>
      <w:r>
        <w:rPr>
          <w:noProof/>
          <w:lang w:eastAsia="es-ES"/>
        </w:rPr>
        <w:drawing>
          <wp:inline distT="0" distB="0" distL="0" distR="0">
            <wp:extent cx="5730240" cy="2956560"/>
            <wp:effectExtent l="1905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srcRect/>
                    <a:stretch>
                      <a:fillRect/>
                    </a:stretch>
                  </pic:blipFill>
                  <pic:spPr bwMode="auto">
                    <a:xfrm>
                      <a:off x="0" y="0"/>
                      <a:ext cx="5730240" cy="2956560"/>
                    </a:xfrm>
                    <a:prstGeom prst="rect">
                      <a:avLst/>
                    </a:prstGeom>
                    <a:noFill/>
                    <a:ln w="9525">
                      <a:noFill/>
                      <a:miter lim="800000"/>
                      <a:headEnd/>
                      <a:tailEnd/>
                    </a:ln>
                  </pic:spPr>
                </pic:pic>
              </a:graphicData>
            </a:graphic>
          </wp:inline>
        </w:drawing>
      </w:r>
    </w:p>
    <w:p w:rsidR="00867306" w:rsidRPr="00BE20A7" w:rsidRDefault="00867306" w:rsidP="00867306">
      <w:pPr>
        <w:pStyle w:val="Prrafodelista"/>
        <w:spacing w:before="360" w:line="360" w:lineRule="auto"/>
        <w:ind w:left="1040"/>
        <w:rPr>
          <w:lang w:val="es-ES_tradnl"/>
        </w:rPr>
      </w:pPr>
    </w:p>
    <w:p w:rsidR="00867306" w:rsidRPr="00BE20A7" w:rsidRDefault="00867306" w:rsidP="00867306">
      <w:pPr>
        <w:pStyle w:val="Prrafodelista"/>
        <w:spacing w:line="360" w:lineRule="auto"/>
        <w:ind w:left="0"/>
        <w:jc w:val="both"/>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 la gráfica: Eje vertical: puntuación financiera media de los </w:t>
      </w:r>
      <w:r w:rsidR="00A95742">
        <w:rPr>
          <w:sz w:val="20"/>
          <w:lang w:val="es-ES_tradnl"/>
        </w:rPr>
        <w:t>CEEs</w:t>
      </w:r>
      <w:r w:rsidR="00867306" w:rsidRPr="00BE20A7">
        <w:rPr>
          <w:sz w:val="20"/>
          <w:lang w:val="es-ES_tradnl"/>
        </w:rPr>
        <w:t xml:space="preserve"> de cada sector. Eje horizontal: sectores de actividad</w:t>
      </w:r>
    </w:p>
    <w:p w:rsidR="00867306" w:rsidRDefault="00637B07" w:rsidP="00867306">
      <w:pPr>
        <w:pStyle w:val="Prrafodelista"/>
        <w:spacing w:before="360" w:line="360" w:lineRule="auto"/>
        <w:ind w:left="0"/>
        <w:rPr>
          <w:sz w:val="18"/>
          <w:szCs w:val="18"/>
          <w:lang w:val="es-ES_tradnl"/>
        </w:rPr>
      </w:pPr>
      <w:r w:rsidRPr="00842404">
        <w:rPr>
          <w:sz w:val="18"/>
          <w:szCs w:val="18"/>
          <w:lang w:val="es-ES_tradnl"/>
        </w:rPr>
        <w:t>Datos de 2012</w:t>
      </w:r>
    </w:p>
    <w:p w:rsidR="00415212" w:rsidRPr="00842404" w:rsidRDefault="00415212" w:rsidP="00867306">
      <w:pPr>
        <w:pStyle w:val="Prrafodelista"/>
        <w:spacing w:before="360" w:line="360" w:lineRule="auto"/>
        <w:ind w:left="0"/>
        <w:rPr>
          <w:sz w:val="18"/>
          <w:szCs w:val="18"/>
          <w:lang w:val="es-ES_tradnl"/>
        </w:rPr>
      </w:pPr>
    </w:p>
    <w:p w:rsidR="00867306" w:rsidRDefault="00867306" w:rsidP="00867306">
      <w:pPr>
        <w:pStyle w:val="Prrafodelista"/>
        <w:pBdr>
          <w:bottom w:val="single" w:sz="4" w:space="1" w:color="auto"/>
        </w:pBdr>
        <w:spacing w:before="360" w:line="360" w:lineRule="auto"/>
        <w:ind w:left="0"/>
        <w:rPr>
          <w:sz w:val="24"/>
          <w:szCs w:val="24"/>
          <w:lang w:val="es-ES_tradnl"/>
        </w:rPr>
      </w:pPr>
      <w:r w:rsidRPr="00BE20A7">
        <w:rPr>
          <w:sz w:val="24"/>
          <w:szCs w:val="24"/>
          <w:lang w:val="es-ES_tradnl"/>
        </w:rPr>
        <w:t xml:space="preserve">En lo referente a su potencial competitivo, se observa una </w:t>
      </w:r>
      <w:r>
        <w:rPr>
          <w:sz w:val="24"/>
          <w:szCs w:val="24"/>
          <w:lang w:val="es-ES_tradnl"/>
        </w:rPr>
        <w:t xml:space="preserve">variación </w:t>
      </w:r>
      <w:r w:rsidRPr="00BE20A7">
        <w:rPr>
          <w:sz w:val="24"/>
          <w:szCs w:val="24"/>
          <w:lang w:val="es-ES_tradnl"/>
        </w:rPr>
        <w:t xml:space="preserve">más pronunciada entre las puntuaciones de los sectores con respecto a la media de todos los </w:t>
      </w:r>
      <w:r w:rsidR="00A95742">
        <w:rPr>
          <w:sz w:val="24"/>
          <w:szCs w:val="24"/>
          <w:lang w:val="es-ES_tradnl"/>
        </w:rPr>
        <w:t>CEEs</w:t>
      </w:r>
      <w:r w:rsidRPr="00BE20A7">
        <w:rPr>
          <w:sz w:val="24"/>
          <w:szCs w:val="24"/>
          <w:lang w:val="es-ES_tradnl"/>
        </w:rPr>
        <w:t xml:space="preserve">. Destacan positivamente la industria manufacturera, el sector de actividades de suministro de agua, saneamiento y gestión de residuos, </w:t>
      </w:r>
      <w:r w:rsidR="005A76C3">
        <w:rPr>
          <w:sz w:val="24"/>
          <w:szCs w:val="24"/>
          <w:lang w:val="es-ES_tradnl"/>
        </w:rPr>
        <w:t>y</w:t>
      </w:r>
      <w:r w:rsidRPr="00BE20A7">
        <w:rPr>
          <w:sz w:val="24"/>
          <w:szCs w:val="24"/>
          <w:lang w:val="es-ES_tradnl"/>
        </w:rPr>
        <w:t xml:space="preserve"> el de actividades de información y comunicaciones.</w:t>
      </w:r>
    </w:p>
    <w:p w:rsidR="000667E7" w:rsidRPr="00BE20A7" w:rsidRDefault="000667E7" w:rsidP="00867306">
      <w:pPr>
        <w:pStyle w:val="Prrafodelista"/>
        <w:pBdr>
          <w:bottom w:val="single" w:sz="4" w:space="1" w:color="auto"/>
        </w:pBdr>
        <w:spacing w:before="360" w:line="360" w:lineRule="auto"/>
        <w:ind w:left="0"/>
        <w:rPr>
          <w:sz w:val="24"/>
          <w:szCs w:val="24"/>
          <w:lang w:val="es-ES_tradnl"/>
        </w:rPr>
      </w:pPr>
    </w:p>
    <w:p w:rsidR="00867306" w:rsidRPr="00BE20A7" w:rsidRDefault="00867306" w:rsidP="00867306">
      <w:pPr>
        <w:pStyle w:val="Prrafodelista"/>
        <w:spacing w:before="360" w:line="360" w:lineRule="auto"/>
        <w:ind w:left="1040"/>
        <w:rPr>
          <w:lang w:val="es-ES_tradnl"/>
        </w:rPr>
      </w:pPr>
    </w:p>
    <w:p w:rsidR="00867306" w:rsidRPr="00BE20A7" w:rsidRDefault="003A7D46" w:rsidP="00007982">
      <w:pPr>
        <w:pStyle w:val="Prrafodelista"/>
        <w:spacing w:before="360" w:line="360" w:lineRule="auto"/>
        <w:ind w:left="0"/>
      </w:pPr>
      <w:r>
        <w:rPr>
          <w:noProof/>
          <w:lang w:eastAsia="es-ES"/>
        </w:rPr>
        <w:drawing>
          <wp:inline distT="0" distB="0" distL="0" distR="0">
            <wp:extent cx="5029200" cy="298704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srcRect/>
                    <a:stretch>
                      <a:fillRect/>
                    </a:stretch>
                  </pic:blipFill>
                  <pic:spPr bwMode="auto">
                    <a:xfrm>
                      <a:off x="0" y="0"/>
                      <a:ext cx="5029200" cy="2987040"/>
                    </a:xfrm>
                    <a:prstGeom prst="rect">
                      <a:avLst/>
                    </a:prstGeom>
                    <a:noFill/>
                    <a:ln w="9525">
                      <a:noFill/>
                      <a:miter lim="800000"/>
                      <a:headEnd/>
                      <a:tailEnd/>
                    </a:ln>
                  </pic:spPr>
                </pic:pic>
              </a:graphicData>
            </a:graphic>
          </wp:inline>
        </w:drawing>
      </w:r>
    </w:p>
    <w:p w:rsidR="00867306" w:rsidRPr="00BE20A7" w:rsidRDefault="00867306" w:rsidP="00867306">
      <w:pPr>
        <w:pStyle w:val="Prrafodelista"/>
        <w:spacing w:before="360" w:line="360" w:lineRule="auto"/>
        <w:ind w:left="-567"/>
        <w:rPr>
          <w:lang w:val="es-ES_tradnl"/>
        </w:rPr>
      </w:pPr>
    </w:p>
    <w:p w:rsidR="005C7E24" w:rsidRPr="00BA2D64" w:rsidRDefault="005C7E24" w:rsidP="005C7E24">
      <w:pPr>
        <w:spacing w:line="360" w:lineRule="auto"/>
        <w:contextualSpacing/>
        <w:jc w:val="both"/>
        <w:rPr>
          <w:sz w:val="20"/>
          <w:lang w:val="es-ES_tradnl"/>
        </w:rPr>
      </w:pPr>
      <w:r w:rsidRPr="00BA2D64">
        <w:rPr>
          <w:sz w:val="20"/>
          <w:lang w:val="es-ES_tradnl"/>
        </w:rPr>
        <w:t>Fuente: elaboración propia</w:t>
      </w:r>
    </w:p>
    <w:p w:rsidR="005C7E24" w:rsidRPr="00BA2D64" w:rsidRDefault="005C7E24" w:rsidP="005C7E24">
      <w:pPr>
        <w:pBdr>
          <w:bottom w:val="single" w:sz="4" w:space="1" w:color="auto"/>
        </w:pBdr>
        <w:spacing w:line="360" w:lineRule="auto"/>
        <w:contextualSpacing/>
        <w:jc w:val="both"/>
        <w:rPr>
          <w:sz w:val="20"/>
          <w:lang w:val="es-ES_tradnl"/>
        </w:rPr>
      </w:pPr>
      <w:r w:rsidRPr="00BA2D64">
        <w:rPr>
          <w:sz w:val="20"/>
          <w:lang w:val="es-ES_tradnl"/>
        </w:rPr>
        <w:t>Nota explicativa de la gráfica: Eje vertical: puntuación competitiva media de los CEEs de cada sector</w:t>
      </w:r>
      <w:r>
        <w:rPr>
          <w:sz w:val="20"/>
          <w:lang w:val="es-ES_tradnl"/>
        </w:rPr>
        <w:t xml:space="preserve"> (sobre 100)</w:t>
      </w:r>
      <w:r w:rsidRPr="00BA2D64">
        <w:rPr>
          <w:sz w:val="20"/>
          <w:lang w:val="es-ES_tradnl"/>
        </w:rPr>
        <w:t>. Eje horizontal: sectores de actividad</w:t>
      </w:r>
      <w:r>
        <w:rPr>
          <w:sz w:val="20"/>
          <w:lang w:val="es-ES_tradnl"/>
        </w:rPr>
        <w:t>. Puntuación competitiva media de los CEEs que se dedican</w:t>
      </w:r>
      <w:r w:rsidRPr="00BA2D64">
        <w:rPr>
          <w:sz w:val="20"/>
          <w:lang w:val="es-ES_tradnl"/>
        </w:rPr>
        <w:t xml:space="preserve"> a actividades de la industria manufacturera</w:t>
      </w:r>
      <w:r>
        <w:rPr>
          <w:sz w:val="20"/>
          <w:lang w:val="es-ES_tradnl"/>
        </w:rPr>
        <w:t xml:space="preserve"> (58,04); de los que se dedican a actividades de agua, saneamiento, gestión de residuos y </w:t>
      </w:r>
      <w:r w:rsidRPr="00BA2D64">
        <w:rPr>
          <w:sz w:val="20"/>
          <w:lang w:val="es-ES_tradnl"/>
        </w:rPr>
        <w:t>descontaminación</w:t>
      </w:r>
      <w:r>
        <w:rPr>
          <w:sz w:val="20"/>
          <w:lang w:val="es-ES_tradnl"/>
        </w:rPr>
        <w:t xml:space="preserve"> (62,50)</w:t>
      </w:r>
      <w:r w:rsidRPr="00BA2D64">
        <w:rPr>
          <w:sz w:val="20"/>
          <w:lang w:val="es-ES_tradnl"/>
        </w:rPr>
        <w:t>; de los que se dedican a actividades de construcción (</w:t>
      </w:r>
      <w:r>
        <w:rPr>
          <w:sz w:val="20"/>
          <w:lang w:val="es-ES_tradnl"/>
        </w:rPr>
        <w:t>25</w:t>
      </w:r>
      <w:r w:rsidRPr="00BA2D64">
        <w:rPr>
          <w:sz w:val="20"/>
          <w:lang w:val="es-ES_tradnl"/>
        </w:rPr>
        <w:t xml:space="preserve">); </w:t>
      </w:r>
      <w:r>
        <w:rPr>
          <w:sz w:val="20"/>
          <w:lang w:val="es-ES_tradnl"/>
        </w:rPr>
        <w:t>d</w:t>
      </w:r>
      <w:r w:rsidRPr="00BA2D64">
        <w:rPr>
          <w:sz w:val="20"/>
          <w:lang w:val="es-ES_tradnl"/>
        </w:rPr>
        <w:t>e los que se dedican a actividades de comercio al por mayor, al por menor y reparación de vehículos de motor</w:t>
      </w:r>
      <w:r>
        <w:rPr>
          <w:sz w:val="20"/>
          <w:lang w:val="es-ES_tradnl"/>
        </w:rPr>
        <w:t xml:space="preserve"> (38,04)</w:t>
      </w:r>
      <w:r w:rsidRPr="00BA2D64">
        <w:rPr>
          <w:sz w:val="20"/>
          <w:lang w:val="es-ES_tradnl"/>
        </w:rPr>
        <w:t>; de los que se dedican a actividades de transporte y almacenamiento</w:t>
      </w:r>
      <w:r>
        <w:rPr>
          <w:sz w:val="20"/>
          <w:lang w:val="es-ES_tradnl"/>
        </w:rPr>
        <w:t xml:space="preserve"> (47,32)</w:t>
      </w:r>
      <w:r w:rsidRPr="00BA2D64">
        <w:rPr>
          <w:sz w:val="20"/>
          <w:lang w:val="es-ES_tradnl"/>
        </w:rPr>
        <w:t>; de los que se dedican a actividades de hostelería</w:t>
      </w:r>
      <w:r>
        <w:rPr>
          <w:sz w:val="20"/>
          <w:lang w:val="es-ES_tradnl"/>
        </w:rPr>
        <w:t xml:space="preserve"> (43,75)</w:t>
      </w:r>
      <w:r w:rsidRPr="00BA2D64">
        <w:rPr>
          <w:sz w:val="20"/>
          <w:lang w:val="es-ES_tradnl"/>
        </w:rPr>
        <w:t>; de los que se dedican a actividades de información y comunicaciones</w:t>
      </w:r>
      <w:r>
        <w:rPr>
          <w:sz w:val="20"/>
          <w:lang w:val="es-ES_tradnl"/>
        </w:rPr>
        <w:t xml:space="preserve"> (57,81)</w:t>
      </w:r>
      <w:r w:rsidRPr="00BA2D64">
        <w:rPr>
          <w:sz w:val="20"/>
          <w:lang w:val="es-ES_tradnl"/>
        </w:rPr>
        <w:t>; de los que se dedican a actividades financieras y de seguros</w:t>
      </w:r>
      <w:r>
        <w:rPr>
          <w:sz w:val="20"/>
          <w:lang w:val="es-ES_tradnl"/>
        </w:rPr>
        <w:t xml:space="preserve"> (62,5)</w:t>
      </w:r>
      <w:r w:rsidRPr="00BA2D64">
        <w:rPr>
          <w:sz w:val="20"/>
          <w:lang w:val="es-ES_tradnl"/>
        </w:rPr>
        <w:t>; de los que se dedican a actividades profesionales, científicas y técnicas</w:t>
      </w:r>
      <w:r>
        <w:rPr>
          <w:sz w:val="20"/>
          <w:lang w:val="es-ES_tradnl"/>
        </w:rPr>
        <w:t xml:space="preserve"> (41,07)</w:t>
      </w:r>
      <w:r w:rsidRPr="00BA2D64">
        <w:rPr>
          <w:sz w:val="20"/>
          <w:lang w:val="es-ES_tradnl"/>
        </w:rPr>
        <w:t>; de los que se dedican a actividades administrativas y de servicios auxiliares</w:t>
      </w:r>
      <w:r>
        <w:rPr>
          <w:sz w:val="20"/>
          <w:lang w:val="es-ES_tradnl"/>
        </w:rPr>
        <w:t xml:space="preserve"> (21,49)</w:t>
      </w:r>
      <w:r w:rsidRPr="00BA2D64">
        <w:rPr>
          <w:sz w:val="20"/>
          <w:lang w:val="es-ES_tradnl"/>
        </w:rPr>
        <w:t>; de los que se dedican a actividades de educación</w:t>
      </w:r>
      <w:r>
        <w:rPr>
          <w:sz w:val="20"/>
          <w:lang w:val="es-ES_tradnl"/>
        </w:rPr>
        <w:t xml:space="preserve"> (28,13)</w:t>
      </w:r>
      <w:r w:rsidRPr="00BA2D64">
        <w:rPr>
          <w:sz w:val="20"/>
          <w:lang w:val="es-ES_tradnl"/>
        </w:rPr>
        <w:t>; de los que se dedican a actividades sanitarias y de servicios sociales</w:t>
      </w:r>
      <w:r>
        <w:rPr>
          <w:sz w:val="20"/>
          <w:lang w:val="es-ES_tradnl"/>
        </w:rPr>
        <w:t xml:space="preserve"> (27,50)</w:t>
      </w:r>
      <w:r w:rsidRPr="00BA2D64">
        <w:rPr>
          <w:sz w:val="20"/>
          <w:lang w:val="es-ES_tradnl"/>
        </w:rPr>
        <w:t>; de los que se dedic</w:t>
      </w:r>
      <w:r>
        <w:rPr>
          <w:sz w:val="20"/>
          <w:lang w:val="es-ES_tradnl"/>
        </w:rPr>
        <w:t>a</w:t>
      </w:r>
      <w:r w:rsidRPr="00BA2D64">
        <w:rPr>
          <w:sz w:val="20"/>
          <w:lang w:val="es-ES_tradnl"/>
        </w:rPr>
        <w:t>n a actividades artísticas, recreativas y de entretenimiento</w:t>
      </w:r>
      <w:r>
        <w:rPr>
          <w:sz w:val="20"/>
          <w:lang w:val="es-ES_tradnl"/>
        </w:rPr>
        <w:t xml:space="preserve"> (25)</w:t>
      </w:r>
      <w:r w:rsidRPr="00BA2D64">
        <w:rPr>
          <w:sz w:val="20"/>
          <w:lang w:val="es-ES_tradnl"/>
        </w:rPr>
        <w:t xml:space="preserve">; </w:t>
      </w:r>
      <w:r>
        <w:rPr>
          <w:sz w:val="20"/>
          <w:lang w:val="es-ES_tradnl"/>
        </w:rPr>
        <w:t>de los que</w:t>
      </w:r>
      <w:r w:rsidRPr="00BA2D64">
        <w:rPr>
          <w:sz w:val="20"/>
          <w:lang w:val="es-ES_tradnl"/>
        </w:rPr>
        <w:t xml:space="preserve"> se dedica</w:t>
      </w:r>
      <w:r>
        <w:rPr>
          <w:sz w:val="20"/>
          <w:lang w:val="es-ES_tradnl"/>
        </w:rPr>
        <w:t>n</w:t>
      </w:r>
      <w:r w:rsidRPr="00BA2D64">
        <w:rPr>
          <w:sz w:val="20"/>
          <w:lang w:val="es-ES_tradnl"/>
        </w:rPr>
        <w:t xml:space="preserve"> a otros servicios</w:t>
      </w:r>
      <w:r>
        <w:rPr>
          <w:sz w:val="20"/>
          <w:lang w:val="es-ES_tradnl"/>
        </w:rPr>
        <w:t xml:space="preserve"> (36,76)</w:t>
      </w:r>
      <w:r w:rsidRPr="00BA2D64">
        <w:rPr>
          <w:sz w:val="20"/>
          <w:lang w:val="es-ES_tradnl"/>
        </w:rPr>
        <w:t>.</w:t>
      </w:r>
      <w:r>
        <w:rPr>
          <w:sz w:val="20"/>
          <w:lang w:val="es-ES_tradnl"/>
        </w:rPr>
        <w:t xml:space="preserve"> Puntuación media competitiva de todos los CEEs: 39.</w:t>
      </w:r>
    </w:p>
    <w:p w:rsidR="005C7E24" w:rsidRPr="00BA2D64" w:rsidRDefault="005C7E24" w:rsidP="005C7E24">
      <w:pPr>
        <w:spacing w:line="360" w:lineRule="auto"/>
        <w:contextualSpacing/>
        <w:rPr>
          <w:sz w:val="18"/>
          <w:szCs w:val="18"/>
          <w:lang w:val="es-ES_tradnl"/>
        </w:rPr>
      </w:pPr>
      <w:r w:rsidRPr="00BA2D64">
        <w:rPr>
          <w:sz w:val="18"/>
          <w:szCs w:val="18"/>
          <w:lang w:val="es-ES_tradnl"/>
        </w:rPr>
        <w:t>Datos de 2011-2012</w:t>
      </w:r>
    </w:p>
    <w:p w:rsidR="00415212" w:rsidRDefault="00415212" w:rsidP="005C7E24">
      <w:pPr>
        <w:pStyle w:val="Prrafodelista"/>
        <w:spacing w:line="360" w:lineRule="auto"/>
        <w:ind w:left="0"/>
        <w:rPr>
          <w:sz w:val="18"/>
          <w:szCs w:val="18"/>
          <w:lang w:val="es-ES_tradnl"/>
        </w:rPr>
      </w:pPr>
    </w:p>
    <w:p w:rsidR="005C7E24" w:rsidRPr="00842404" w:rsidRDefault="005C7E24" w:rsidP="005C7E24">
      <w:pPr>
        <w:pStyle w:val="Prrafodelista"/>
        <w:spacing w:line="360" w:lineRule="auto"/>
        <w:ind w:left="0"/>
        <w:rPr>
          <w:sz w:val="18"/>
          <w:szCs w:val="18"/>
          <w:lang w:val="es-ES_tradnl"/>
        </w:rPr>
      </w:pPr>
    </w:p>
    <w:p w:rsidR="00867306" w:rsidRPr="00BE20A7" w:rsidRDefault="00867306" w:rsidP="00007982">
      <w:pPr>
        <w:pStyle w:val="Prrafodelista"/>
        <w:pBdr>
          <w:bottom w:val="single" w:sz="4" w:space="1" w:color="auto"/>
        </w:pBdr>
        <w:spacing w:line="360" w:lineRule="auto"/>
        <w:ind w:left="0"/>
        <w:jc w:val="both"/>
        <w:rPr>
          <w:sz w:val="24"/>
          <w:szCs w:val="24"/>
          <w:lang w:val="es-ES_tradnl"/>
        </w:rPr>
      </w:pPr>
      <w:r w:rsidRPr="00BE20A7">
        <w:rPr>
          <w:sz w:val="24"/>
          <w:szCs w:val="24"/>
          <w:lang w:val="es-ES_tradnl"/>
        </w:rPr>
        <w:t xml:space="preserve">En cuanto a los resultados de impacto social, la mayoría de los sectores obtienen resultados </w:t>
      </w:r>
      <w:r>
        <w:rPr>
          <w:sz w:val="24"/>
          <w:szCs w:val="24"/>
          <w:lang w:val="es-ES_tradnl"/>
        </w:rPr>
        <w:t>similares</w:t>
      </w:r>
      <w:r w:rsidRPr="00BE20A7">
        <w:rPr>
          <w:sz w:val="24"/>
          <w:szCs w:val="24"/>
          <w:lang w:val="es-ES_tradnl"/>
        </w:rPr>
        <w:t xml:space="preserve"> a la media de todos los </w:t>
      </w:r>
      <w:r w:rsidR="00A95742">
        <w:rPr>
          <w:sz w:val="24"/>
          <w:szCs w:val="24"/>
          <w:lang w:val="es-ES_tradnl"/>
        </w:rPr>
        <w:t>CEEs</w:t>
      </w:r>
      <w:r w:rsidRPr="00BE20A7">
        <w:rPr>
          <w:sz w:val="24"/>
          <w:szCs w:val="24"/>
          <w:lang w:val="es-ES_tradnl"/>
        </w:rPr>
        <w:t xml:space="preserve">. </w:t>
      </w:r>
    </w:p>
    <w:p w:rsidR="00867306" w:rsidRPr="00BE20A7" w:rsidRDefault="00867306" w:rsidP="00867306">
      <w:pPr>
        <w:pStyle w:val="Prrafodelista"/>
        <w:spacing w:before="360" w:line="360" w:lineRule="auto"/>
        <w:ind w:left="1040"/>
        <w:rPr>
          <w:lang w:val="es-ES_tradnl"/>
        </w:rPr>
      </w:pPr>
    </w:p>
    <w:p w:rsidR="00867306" w:rsidRPr="00BE20A7" w:rsidRDefault="003A7D46" w:rsidP="00007982">
      <w:pPr>
        <w:pStyle w:val="Prrafodelista"/>
        <w:spacing w:before="360" w:line="360" w:lineRule="auto"/>
        <w:ind w:left="-142"/>
        <w:rPr>
          <w:lang w:val="es-ES_tradnl"/>
        </w:rPr>
      </w:pPr>
      <w:r>
        <w:rPr>
          <w:noProof/>
          <w:lang w:eastAsia="es-ES"/>
        </w:rPr>
        <w:drawing>
          <wp:inline distT="0" distB="0" distL="0" distR="0">
            <wp:extent cx="5120640" cy="2529840"/>
            <wp:effectExtent l="1905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srcRect/>
                    <a:stretch>
                      <a:fillRect/>
                    </a:stretch>
                  </pic:blipFill>
                  <pic:spPr bwMode="auto">
                    <a:xfrm>
                      <a:off x="0" y="0"/>
                      <a:ext cx="5120640" cy="2529840"/>
                    </a:xfrm>
                    <a:prstGeom prst="rect">
                      <a:avLst/>
                    </a:prstGeom>
                    <a:noFill/>
                    <a:ln w="9525">
                      <a:noFill/>
                      <a:miter lim="800000"/>
                      <a:headEnd/>
                      <a:tailEnd/>
                    </a:ln>
                  </pic:spPr>
                </pic:pic>
              </a:graphicData>
            </a:graphic>
          </wp:inline>
        </w:drawing>
      </w:r>
    </w:p>
    <w:p w:rsidR="00867306" w:rsidRPr="00BE20A7" w:rsidRDefault="00867306" w:rsidP="00867306">
      <w:pPr>
        <w:pStyle w:val="Prrafodelista"/>
        <w:spacing w:before="360" w:line="360" w:lineRule="auto"/>
        <w:ind w:left="0"/>
        <w:rPr>
          <w:sz w:val="20"/>
          <w:lang w:val="es-ES_tradnl"/>
        </w:rPr>
      </w:pPr>
      <w:r w:rsidRPr="00BE20A7">
        <w:rPr>
          <w:sz w:val="20"/>
          <w:lang w:val="es-ES_tradnl"/>
        </w:rPr>
        <w:t>Fuente: elaboración propia</w:t>
      </w:r>
    </w:p>
    <w:p w:rsidR="00867306" w:rsidRDefault="007751C0" w:rsidP="00867306">
      <w:pPr>
        <w:pStyle w:val="Prrafodelista"/>
        <w:pBdr>
          <w:bottom w:val="single" w:sz="4" w:space="1" w:color="auto"/>
        </w:pBdr>
        <w:spacing w:before="360" w:line="360" w:lineRule="auto"/>
        <w:ind w:left="0"/>
        <w:rPr>
          <w:sz w:val="20"/>
          <w:lang w:val="es-ES_tradnl"/>
        </w:rPr>
      </w:pPr>
      <w:r>
        <w:rPr>
          <w:sz w:val="20"/>
          <w:lang w:val="es-ES_tradnl"/>
        </w:rPr>
        <w:t xml:space="preserve">Nota </w:t>
      </w:r>
      <w:r w:rsidR="00867306" w:rsidRPr="00BE20A7">
        <w:rPr>
          <w:sz w:val="20"/>
          <w:lang w:val="es-ES_tradnl"/>
        </w:rPr>
        <w:t>explicativa de la grá</w:t>
      </w:r>
      <w:r w:rsidR="00B41A93">
        <w:rPr>
          <w:sz w:val="20"/>
          <w:lang w:val="es-ES_tradnl"/>
        </w:rPr>
        <w:t>fica: Eje vertical: puntuación social</w:t>
      </w:r>
      <w:r w:rsidR="00867306" w:rsidRPr="00BE20A7">
        <w:rPr>
          <w:sz w:val="20"/>
          <w:lang w:val="es-ES_tradnl"/>
        </w:rPr>
        <w:t xml:space="preserve"> media de los </w:t>
      </w:r>
      <w:r w:rsidR="00A95742">
        <w:rPr>
          <w:sz w:val="20"/>
          <w:lang w:val="es-ES_tradnl"/>
        </w:rPr>
        <w:t>CEEs</w:t>
      </w:r>
      <w:r w:rsidR="00867306" w:rsidRPr="00BE20A7">
        <w:rPr>
          <w:sz w:val="20"/>
          <w:lang w:val="es-ES_tradnl"/>
        </w:rPr>
        <w:t xml:space="preserve"> de cada sector. Eje horizontal: sectores de actividad</w:t>
      </w:r>
    </w:p>
    <w:p w:rsidR="0068703A" w:rsidRPr="0068703A" w:rsidRDefault="0068703A" w:rsidP="0068703A">
      <w:pPr>
        <w:pStyle w:val="Prrafodelista"/>
        <w:spacing w:before="360" w:line="360" w:lineRule="auto"/>
        <w:ind w:left="0"/>
        <w:rPr>
          <w:sz w:val="18"/>
          <w:szCs w:val="18"/>
          <w:lang w:val="es-ES_tradnl"/>
        </w:rPr>
      </w:pPr>
      <w:r w:rsidRPr="00842404">
        <w:rPr>
          <w:sz w:val="18"/>
          <w:szCs w:val="18"/>
          <w:lang w:val="es-ES_tradnl"/>
        </w:rPr>
        <w:t xml:space="preserve">Datos de </w:t>
      </w:r>
      <w:r>
        <w:rPr>
          <w:sz w:val="18"/>
          <w:szCs w:val="18"/>
          <w:lang w:val="es-ES_tradnl"/>
        </w:rPr>
        <w:t>2011-</w:t>
      </w:r>
      <w:r w:rsidRPr="00842404">
        <w:rPr>
          <w:sz w:val="18"/>
          <w:szCs w:val="18"/>
          <w:lang w:val="es-ES_tradnl"/>
        </w:rPr>
        <w:t>2013</w:t>
      </w:r>
    </w:p>
    <w:p w:rsidR="00867306" w:rsidRPr="00BE20A7" w:rsidRDefault="00867306" w:rsidP="00B41A93">
      <w:pPr>
        <w:pStyle w:val="Ttulo3"/>
        <w:rPr>
          <w:lang w:val="es-ES_tradnl"/>
        </w:rPr>
      </w:pPr>
      <w:bookmarkStart w:id="244" w:name="_Toc410916887"/>
      <w:r w:rsidRPr="00BE20A7">
        <w:rPr>
          <w:lang w:val="es-ES_tradnl"/>
        </w:rPr>
        <w:t>Equidad salarial por sectores</w:t>
      </w:r>
      <w:bookmarkEnd w:id="244"/>
    </w:p>
    <w:p w:rsidR="00867306" w:rsidRPr="00BE20A7" w:rsidRDefault="00867306" w:rsidP="00867306">
      <w:pPr>
        <w:pStyle w:val="Prrafodelista"/>
        <w:spacing w:line="360" w:lineRule="auto"/>
        <w:ind w:left="0"/>
        <w:jc w:val="both"/>
        <w:rPr>
          <w:sz w:val="24"/>
          <w:szCs w:val="24"/>
          <w:lang w:val="es-ES_tradnl"/>
        </w:rPr>
      </w:pPr>
    </w:p>
    <w:p w:rsidR="00867306" w:rsidRPr="00BE20A7"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Con respecto al indicador de equidad salarial, unos sectores muestran un mejor desempeño que otros. Los sectores de actividades científicas y profesionales, ofrecen, de media, salarios que más que duplican el salario medio de </w:t>
      </w:r>
      <w:r w:rsidR="005A76C3">
        <w:rPr>
          <w:sz w:val="24"/>
          <w:szCs w:val="24"/>
          <w:lang w:val="es-ES_tradnl"/>
        </w:rPr>
        <w:t xml:space="preserve">las personas con discapacidad. </w:t>
      </w:r>
      <w:r w:rsidRPr="00BE20A7">
        <w:rPr>
          <w:sz w:val="24"/>
          <w:szCs w:val="24"/>
          <w:lang w:val="es-ES_tradnl"/>
        </w:rPr>
        <w:t xml:space="preserve">Los </w:t>
      </w:r>
      <w:r w:rsidR="00A95742">
        <w:rPr>
          <w:sz w:val="24"/>
          <w:szCs w:val="24"/>
          <w:lang w:val="es-ES_tradnl"/>
        </w:rPr>
        <w:t>CEEs</w:t>
      </w:r>
      <w:r w:rsidRPr="00BE20A7">
        <w:rPr>
          <w:sz w:val="24"/>
          <w:szCs w:val="24"/>
          <w:lang w:val="es-ES_tradnl"/>
        </w:rPr>
        <w:t xml:space="preserve"> que se encuentran en los sectores de la industria manufacturera, la construcción, y las actividades de información y telecomunicaciones también ofrecen, de media, salarios superiores a la media. </w:t>
      </w:r>
    </w:p>
    <w:p w:rsidR="00007982" w:rsidRPr="00BE20A7" w:rsidRDefault="00007982" w:rsidP="00867306">
      <w:pPr>
        <w:pStyle w:val="Prrafodelista"/>
        <w:pBdr>
          <w:bottom w:val="single" w:sz="4" w:space="1" w:color="auto"/>
        </w:pBdr>
        <w:spacing w:line="360" w:lineRule="auto"/>
        <w:ind w:left="0"/>
        <w:jc w:val="both"/>
        <w:rPr>
          <w:sz w:val="24"/>
          <w:szCs w:val="24"/>
          <w:lang w:val="es-ES_tradnl"/>
        </w:rPr>
      </w:pPr>
    </w:p>
    <w:p w:rsidR="00867306" w:rsidRPr="00BE20A7" w:rsidRDefault="003A7D46" w:rsidP="00B41A93">
      <w:pPr>
        <w:pStyle w:val="Prrafodelista"/>
        <w:spacing w:before="360" w:line="360" w:lineRule="auto"/>
        <w:ind w:left="-284"/>
        <w:rPr>
          <w:lang w:val="es-ES_tradnl"/>
        </w:rPr>
      </w:pPr>
      <w:r>
        <w:rPr>
          <w:noProof/>
          <w:lang w:eastAsia="es-ES"/>
        </w:rPr>
        <w:drawing>
          <wp:inline distT="0" distB="0" distL="0" distR="0">
            <wp:extent cx="5402580" cy="2339340"/>
            <wp:effectExtent l="1905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srcRect/>
                    <a:stretch>
                      <a:fillRect/>
                    </a:stretch>
                  </pic:blipFill>
                  <pic:spPr bwMode="auto">
                    <a:xfrm>
                      <a:off x="0" y="0"/>
                      <a:ext cx="5402580" cy="2339340"/>
                    </a:xfrm>
                    <a:prstGeom prst="rect">
                      <a:avLst/>
                    </a:prstGeom>
                    <a:noFill/>
                    <a:ln w="9525">
                      <a:noFill/>
                      <a:miter lim="800000"/>
                      <a:headEnd/>
                      <a:tailEnd/>
                    </a:ln>
                  </pic:spPr>
                </pic:pic>
              </a:graphicData>
            </a:graphic>
          </wp:inline>
        </w:drawing>
      </w:r>
    </w:p>
    <w:p w:rsidR="00867306" w:rsidRPr="00BE20A7" w:rsidRDefault="00867306" w:rsidP="00867306">
      <w:pPr>
        <w:pStyle w:val="Prrafodelista"/>
        <w:spacing w:line="360" w:lineRule="auto"/>
        <w:ind w:left="0"/>
        <w:jc w:val="both"/>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 la gráfica: Eje vertical: ratio entre el salario medio de los </w:t>
      </w:r>
      <w:r w:rsidR="00A95742">
        <w:rPr>
          <w:sz w:val="20"/>
          <w:lang w:val="es-ES_tradnl"/>
        </w:rPr>
        <w:t>CEEs</w:t>
      </w:r>
      <w:r w:rsidR="00867306" w:rsidRPr="00BE20A7">
        <w:rPr>
          <w:sz w:val="20"/>
          <w:lang w:val="es-ES_tradnl"/>
        </w:rPr>
        <w:t xml:space="preserve"> y el salario medio nacional de las personas con discapacidad. Eje horizontal: sectores de actividad</w:t>
      </w:r>
    </w:p>
    <w:p w:rsidR="00867306" w:rsidRDefault="000E5032" w:rsidP="00867306">
      <w:pPr>
        <w:pStyle w:val="Prrafodelista"/>
        <w:spacing w:before="360" w:line="360" w:lineRule="auto"/>
        <w:ind w:left="0"/>
        <w:rPr>
          <w:sz w:val="18"/>
          <w:szCs w:val="18"/>
          <w:lang w:val="es-ES_tradnl"/>
        </w:rPr>
      </w:pPr>
      <w:r w:rsidRPr="00842404">
        <w:rPr>
          <w:sz w:val="18"/>
          <w:szCs w:val="18"/>
          <w:lang w:val="es-ES_tradnl"/>
        </w:rPr>
        <w:t>Datos de 2012</w:t>
      </w:r>
    </w:p>
    <w:p w:rsidR="000E5032" w:rsidRPr="00842404" w:rsidRDefault="000E5032" w:rsidP="00867306">
      <w:pPr>
        <w:pStyle w:val="Prrafodelista"/>
        <w:spacing w:before="360" w:line="360" w:lineRule="auto"/>
        <w:ind w:left="0"/>
        <w:rPr>
          <w:sz w:val="18"/>
          <w:szCs w:val="18"/>
          <w:lang w:val="es-ES_tradnl"/>
        </w:rPr>
      </w:pPr>
    </w:p>
    <w:p w:rsidR="00867306" w:rsidRPr="00BE20A7"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Más allá de la media de equidad salarial por sector, los datos individuales de los </w:t>
      </w:r>
      <w:r w:rsidR="00A95742">
        <w:rPr>
          <w:sz w:val="24"/>
          <w:szCs w:val="24"/>
          <w:lang w:val="es-ES_tradnl"/>
        </w:rPr>
        <w:t>CEEs</w:t>
      </w:r>
      <w:r w:rsidRPr="00BE20A7">
        <w:rPr>
          <w:sz w:val="24"/>
          <w:szCs w:val="24"/>
          <w:lang w:val="es-ES_tradnl"/>
        </w:rPr>
        <w:t xml:space="preserve"> también aportan información valiosa. Al analizar la dispersión de ratios de equidad salarial de cada sector, se observa mejor el volumen de </w:t>
      </w:r>
      <w:r w:rsidR="00A95742">
        <w:rPr>
          <w:sz w:val="24"/>
          <w:szCs w:val="24"/>
          <w:lang w:val="es-ES_tradnl"/>
        </w:rPr>
        <w:t>CEEs</w:t>
      </w:r>
      <w:r w:rsidRPr="00BE20A7">
        <w:rPr>
          <w:sz w:val="24"/>
          <w:szCs w:val="24"/>
          <w:lang w:val="es-ES_tradnl"/>
        </w:rPr>
        <w:t xml:space="preserve"> a un lado y a otro del salario medio de las personas con discapacidad. </w:t>
      </w:r>
    </w:p>
    <w:p w:rsidR="00867306" w:rsidRPr="00BE20A7" w:rsidRDefault="00867306" w:rsidP="00867306">
      <w:pPr>
        <w:pStyle w:val="Prrafodelista"/>
        <w:spacing w:line="360" w:lineRule="auto"/>
        <w:ind w:left="0"/>
        <w:jc w:val="both"/>
        <w:rPr>
          <w:sz w:val="24"/>
          <w:szCs w:val="24"/>
          <w:lang w:val="es-ES_tradnl"/>
        </w:rPr>
      </w:pPr>
    </w:p>
    <w:p w:rsidR="00867306" w:rsidRPr="00BE20A7"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De esta forma vemos, por ejemplo, que aunque el ratio de equidad salarial del sector de la construcción es elevado (1,81 según el gráfico anterior) únicamente hay un centro de ese sector ofreciendo ese salario. Asimismo, en el sector de actividades administrativas y de servicios, cuyo ratio medio de equidad salarial no es muy elevado con respecto a la media (1,18 según el gráfico anterior) hay sin embargo </w:t>
      </w:r>
      <w:r w:rsidR="00BF1871">
        <w:rPr>
          <w:sz w:val="24"/>
          <w:szCs w:val="24"/>
          <w:lang w:val="es-ES_tradnl"/>
        </w:rPr>
        <w:t>numerosos</w:t>
      </w:r>
      <w:r w:rsidRPr="00BE20A7">
        <w:rPr>
          <w:sz w:val="24"/>
          <w:szCs w:val="24"/>
          <w:lang w:val="es-ES_tradnl"/>
        </w:rPr>
        <w:t xml:space="preserve"> </w:t>
      </w:r>
      <w:r w:rsidR="00A95742">
        <w:rPr>
          <w:sz w:val="24"/>
          <w:szCs w:val="24"/>
          <w:lang w:val="es-ES_tradnl"/>
        </w:rPr>
        <w:t>CEEs</w:t>
      </w:r>
      <w:r w:rsidRPr="00BE20A7">
        <w:rPr>
          <w:sz w:val="24"/>
          <w:szCs w:val="24"/>
          <w:lang w:val="es-ES_tradnl"/>
        </w:rPr>
        <w:t xml:space="preserve"> con ratios de equidad salarial elevados. </w:t>
      </w:r>
    </w:p>
    <w:p w:rsidR="00867306" w:rsidRPr="00BE20A7" w:rsidRDefault="00867306" w:rsidP="00867306">
      <w:pPr>
        <w:pStyle w:val="Prrafodelista"/>
        <w:spacing w:line="360" w:lineRule="auto"/>
        <w:ind w:left="0"/>
        <w:jc w:val="both"/>
        <w:rPr>
          <w:lang w:val="es-ES_tradnl"/>
        </w:rPr>
      </w:pPr>
    </w:p>
    <w:p w:rsidR="00867306" w:rsidRPr="00BE20A7" w:rsidRDefault="00867306" w:rsidP="00867306">
      <w:pPr>
        <w:pStyle w:val="Prrafodelista"/>
        <w:spacing w:before="360" w:line="360" w:lineRule="auto"/>
        <w:ind w:left="0"/>
        <w:rPr>
          <w:lang w:val="es-ES_tradnl"/>
        </w:rPr>
      </w:pPr>
      <w:r w:rsidRPr="00BE20A7">
        <w:rPr>
          <w:sz w:val="24"/>
          <w:szCs w:val="24"/>
          <w:lang w:val="es-ES_tradnl"/>
        </w:rPr>
        <w:t xml:space="preserve">En otros sectores, como en la industria manufacturera es elevado tanto el ratio medio de equidad salarial como el número de </w:t>
      </w:r>
      <w:r w:rsidR="00A95742">
        <w:rPr>
          <w:sz w:val="24"/>
          <w:szCs w:val="24"/>
          <w:lang w:val="es-ES_tradnl"/>
        </w:rPr>
        <w:t>CEEs</w:t>
      </w:r>
      <w:r w:rsidRPr="00BE20A7">
        <w:rPr>
          <w:sz w:val="24"/>
          <w:szCs w:val="24"/>
          <w:lang w:val="es-ES_tradnl"/>
        </w:rPr>
        <w:t xml:space="preserve"> que ofrecen </w:t>
      </w:r>
      <w:r w:rsidR="000667E7">
        <w:rPr>
          <w:sz w:val="24"/>
          <w:szCs w:val="24"/>
          <w:lang w:val="es-ES_tradnl"/>
        </w:rPr>
        <w:t>salarios elevados</w:t>
      </w:r>
      <w:r w:rsidRPr="00BE20A7">
        <w:rPr>
          <w:sz w:val="24"/>
          <w:szCs w:val="24"/>
          <w:lang w:val="es-ES_tradnl"/>
        </w:rPr>
        <w:t xml:space="preserve"> en comparación con la media.</w:t>
      </w:r>
    </w:p>
    <w:p w:rsidR="00867306" w:rsidRPr="00BE20A7" w:rsidRDefault="00867306" w:rsidP="00867306">
      <w:pPr>
        <w:pStyle w:val="Prrafodelista"/>
        <w:pBdr>
          <w:bottom w:val="single" w:sz="4" w:space="1" w:color="auto"/>
        </w:pBdr>
        <w:spacing w:before="360" w:line="360" w:lineRule="auto"/>
        <w:ind w:left="0"/>
        <w:rPr>
          <w:lang w:val="es-ES_tradnl"/>
        </w:rPr>
      </w:pPr>
    </w:p>
    <w:p w:rsidR="00867306" w:rsidRPr="00BE20A7" w:rsidRDefault="003A7D46" w:rsidP="00B41A93">
      <w:pPr>
        <w:pStyle w:val="Prrafodelista"/>
        <w:spacing w:before="360" w:line="360" w:lineRule="auto"/>
        <w:ind w:left="-993"/>
      </w:pPr>
      <w:r>
        <w:rPr>
          <w:noProof/>
          <w:lang w:eastAsia="es-ES"/>
        </w:rPr>
        <w:drawing>
          <wp:inline distT="0" distB="0" distL="0" distR="0">
            <wp:extent cx="6537960" cy="3459480"/>
            <wp:effectExtent l="19050" t="0" r="0" b="0"/>
            <wp:docPr id="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cstate="print"/>
                    <a:srcRect/>
                    <a:stretch>
                      <a:fillRect/>
                    </a:stretch>
                  </pic:blipFill>
                  <pic:spPr bwMode="auto">
                    <a:xfrm>
                      <a:off x="0" y="0"/>
                      <a:ext cx="6537960" cy="3459480"/>
                    </a:xfrm>
                    <a:prstGeom prst="rect">
                      <a:avLst/>
                    </a:prstGeom>
                    <a:noFill/>
                    <a:ln w="9525">
                      <a:noFill/>
                      <a:miter lim="800000"/>
                      <a:headEnd/>
                      <a:tailEnd/>
                    </a:ln>
                  </pic:spPr>
                </pic:pic>
              </a:graphicData>
            </a:graphic>
          </wp:inline>
        </w:drawing>
      </w:r>
    </w:p>
    <w:p w:rsidR="00867306" w:rsidRPr="00BE20A7" w:rsidRDefault="00867306" w:rsidP="00867306">
      <w:pPr>
        <w:pStyle w:val="Prrafodelista"/>
        <w:spacing w:before="360" w:line="360" w:lineRule="auto"/>
        <w:ind w:left="-1418"/>
        <w:rPr>
          <w:lang w:val="es-ES_tradnl"/>
        </w:rPr>
      </w:pPr>
    </w:p>
    <w:p w:rsidR="00867306" w:rsidRPr="00BE20A7" w:rsidRDefault="00867306" w:rsidP="00867306">
      <w:pPr>
        <w:pStyle w:val="Prrafodelista"/>
        <w:spacing w:line="360" w:lineRule="auto"/>
        <w:ind w:left="0"/>
        <w:jc w:val="both"/>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del gráfico: Eje vertical, sector de actividad (se ha de utilizar la llave para ver el sector de actividad que corresponde a cada número del gráfico). Eje horizontal: Ratio de equidad salarial de los </w:t>
      </w:r>
      <w:r w:rsidR="00A95742">
        <w:rPr>
          <w:sz w:val="20"/>
          <w:lang w:val="es-ES_tradnl"/>
        </w:rPr>
        <w:t>CEEs</w:t>
      </w:r>
      <w:r w:rsidR="00867306" w:rsidRPr="00BE20A7">
        <w:rPr>
          <w:sz w:val="20"/>
          <w:lang w:val="es-ES_tradnl"/>
        </w:rPr>
        <w:t xml:space="preserve"> (salario medio del centro dividido por el salario medio de las personas con discapacidad en su conjunto). Si un centro tiene un ratio de equidad salarial = 1 quiere decir que el salario medio ofrecido por ese centro a sus empleados es igual que el salario medio de las personas con discapacidad.</w:t>
      </w:r>
    </w:p>
    <w:p w:rsidR="00867306" w:rsidRPr="00842404" w:rsidRDefault="000E5032" w:rsidP="00867306">
      <w:pPr>
        <w:pStyle w:val="Prrafodelista"/>
        <w:spacing w:line="360" w:lineRule="auto"/>
        <w:ind w:left="0"/>
        <w:jc w:val="both"/>
        <w:rPr>
          <w:sz w:val="18"/>
          <w:szCs w:val="18"/>
          <w:lang w:val="es-ES_tradnl"/>
        </w:rPr>
      </w:pPr>
      <w:r w:rsidRPr="00842404">
        <w:rPr>
          <w:sz w:val="18"/>
          <w:szCs w:val="18"/>
          <w:lang w:val="es-ES_tradnl"/>
        </w:rPr>
        <w:t>Datos 2012</w:t>
      </w:r>
    </w:p>
    <w:p w:rsidR="00867306" w:rsidRPr="00BE20A7" w:rsidRDefault="00867306" w:rsidP="00007982">
      <w:pPr>
        <w:pStyle w:val="Ttulo3"/>
        <w:rPr>
          <w:lang w:val="es-ES_tradnl"/>
        </w:rPr>
      </w:pPr>
      <w:bookmarkStart w:id="245" w:name="_Toc410916888"/>
      <w:r w:rsidRPr="00BE20A7">
        <w:rPr>
          <w:lang w:val="es-ES_tradnl"/>
        </w:rPr>
        <w:t>Empleo de las personas con discapacidad por sector</w:t>
      </w:r>
      <w:bookmarkEnd w:id="245"/>
    </w:p>
    <w:p w:rsidR="00867306" w:rsidRPr="00BE20A7" w:rsidRDefault="00867306" w:rsidP="00867306">
      <w:pPr>
        <w:pStyle w:val="Prrafodelista"/>
        <w:spacing w:line="360" w:lineRule="auto"/>
        <w:ind w:left="0"/>
        <w:jc w:val="both"/>
        <w:rPr>
          <w:b/>
          <w:sz w:val="24"/>
          <w:szCs w:val="24"/>
          <w:lang w:val="es-ES_tradnl"/>
        </w:rPr>
      </w:pPr>
    </w:p>
    <w:p w:rsidR="00867306"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Existen diferencias entre los </w:t>
      </w:r>
      <w:r w:rsidR="00A95742">
        <w:rPr>
          <w:sz w:val="24"/>
          <w:szCs w:val="24"/>
          <w:lang w:val="es-ES_tradnl"/>
        </w:rPr>
        <w:t>CEEs</w:t>
      </w:r>
      <w:r w:rsidRPr="00BE20A7">
        <w:rPr>
          <w:sz w:val="24"/>
          <w:szCs w:val="24"/>
          <w:lang w:val="es-ES_tradnl"/>
        </w:rPr>
        <w:t xml:space="preserve"> de distintos sectores con respecto al número de personas con discapacidad que emplean. Destacan</w:t>
      </w:r>
      <w:r w:rsidR="000667E7">
        <w:rPr>
          <w:sz w:val="24"/>
          <w:szCs w:val="24"/>
          <w:lang w:val="es-ES_tradnl"/>
        </w:rPr>
        <w:t>, por el elevado número de empleos,</w:t>
      </w:r>
      <w:r w:rsidRPr="00BE20A7">
        <w:rPr>
          <w:sz w:val="24"/>
          <w:szCs w:val="24"/>
          <w:lang w:val="es-ES_tradnl"/>
        </w:rPr>
        <w:t xml:space="preserve"> </w:t>
      </w:r>
      <w:r w:rsidR="005A76C3">
        <w:rPr>
          <w:sz w:val="24"/>
          <w:szCs w:val="24"/>
          <w:lang w:val="es-ES_tradnl"/>
        </w:rPr>
        <w:t>los de los sectores de</w:t>
      </w:r>
      <w:r w:rsidRPr="00BE20A7">
        <w:rPr>
          <w:sz w:val="24"/>
          <w:szCs w:val="24"/>
          <w:lang w:val="es-ES_tradnl"/>
        </w:rPr>
        <w:t xml:space="preserve"> actividades sanitarias y de servicios sociales, otros servicios, y actividades administrativas y de servicios auxiliares. </w:t>
      </w:r>
    </w:p>
    <w:p w:rsidR="00867306" w:rsidRPr="00BE20A7" w:rsidRDefault="00867306" w:rsidP="00867306">
      <w:pPr>
        <w:pStyle w:val="Prrafodelista"/>
        <w:pBdr>
          <w:bottom w:val="single" w:sz="4" w:space="1" w:color="auto"/>
        </w:pBdr>
        <w:spacing w:line="360" w:lineRule="auto"/>
        <w:ind w:left="0"/>
        <w:jc w:val="both"/>
        <w:rPr>
          <w:sz w:val="24"/>
          <w:szCs w:val="24"/>
          <w:lang w:val="es-ES_tradnl"/>
        </w:rPr>
      </w:pPr>
    </w:p>
    <w:p w:rsidR="00867306" w:rsidRPr="00BE20A7" w:rsidRDefault="003A7D46" w:rsidP="00EC2CFF">
      <w:pPr>
        <w:pStyle w:val="Prrafodelista"/>
        <w:spacing w:before="360" w:line="360" w:lineRule="auto"/>
        <w:ind w:left="-851"/>
        <w:rPr>
          <w:lang w:val="es-ES_tradnl"/>
        </w:rPr>
      </w:pPr>
      <w:r>
        <w:rPr>
          <w:noProof/>
          <w:lang w:eastAsia="es-ES"/>
        </w:rPr>
        <w:drawing>
          <wp:inline distT="0" distB="0" distL="0" distR="0">
            <wp:extent cx="6248400" cy="1614110"/>
            <wp:effectExtent l="0" t="0" r="0" b="0"/>
            <wp:docPr id="6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cstate="print"/>
                    <a:srcRect/>
                    <a:stretch>
                      <a:fillRect/>
                    </a:stretch>
                  </pic:blipFill>
                  <pic:spPr bwMode="auto">
                    <a:xfrm>
                      <a:off x="0" y="0"/>
                      <a:ext cx="6263720" cy="1618067"/>
                    </a:xfrm>
                    <a:prstGeom prst="rect">
                      <a:avLst/>
                    </a:prstGeom>
                    <a:noFill/>
                    <a:ln w="9525">
                      <a:noFill/>
                      <a:miter lim="800000"/>
                      <a:headEnd/>
                      <a:tailEnd/>
                    </a:ln>
                  </pic:spPr>
                </pic:pic>
              </a:graphicData>
            </a:graphic>
          </wp:inline>
        </w:drawing>
      </w:r>
    </w:p>
    <w:p w:rsidR="00867306" w:rsidRPr="00BE20A7" w:rsidRDefault="00867306" w:rsidP="00867306">
      <w:pPr>
        <w:pStyle w:val="Prrafodelista"/>
        <w:pBdr>
          <w:bottom w:val="single" w:sz="4" w:space="1" w:color="auto"/>
        </w:pBdr>
        <w:spacing w:line="360" w:lineRule="auto"/>
        <w:ind w:left="0"/>
        <w:jc w:val="both"/>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 la gráfica: Eje vertical: número medio de personas con discapacidad empleadas por los </w:t>
      </w:r>
      <w:r w:rsidR="00A95742">
        <w:rPr>
          <w:sz w:val="20"/>
          <w:lang w:val="es-ES_tradnl"/>
        </w:rPr>
        <w:t>CEEs</w:t>
      </w:r>
      <w:r w:rsidR="00867306" w:rsidRPr="00BE20A7">
        <w:rPr>
          <w:sz w:val="20"/>
          <w:lang w:val="es-ES_tradnl"/>
        </w:rPr>
        <w:t xml:space="preserve">. Eje horizontal: sectores de actividad a los que se dedican los </w:t>
      </w:r>
      <w:r w:rsidR="00263316">
        <w:rPr>
          <w:sz w:val="20"/>
          <w:lang w:val="es-ES_tradnl"/>
        </w:rPr>
        <w:t>CEEs</w:t>
      </w:r>
      <w:r w:rsidR="00867306" w:rsidRPr="00BE20A7">
        <w:rPr>
          <w:sz w:val="20"/>
          <w:lang w:val="es-ES_tradnl"/>
        </w:rPr>
        <w:t xml:space="preserve"> de Castilla y León.</w:t>
      </w:r>
    </w:p>
    <w:p w:rsidR="0068703A" w:rsidRPr="00842404" w:rsidRDefault="0068703A" w:rsidP="0068703A">
      <w:pPr>
        <w:pStyle w:val="Prrafodelista"/>
        <w:spacing w:before="360" w:line="360" w:lineRule="auto"/>
        <w:ind w:left="0"/>
        <w:rPr>
          <w:sz w:val="18"/>
          <w:szCs w:val="18"/>
          <w:lang w:val="es-ES_tradnl"/>
        </w:rPr>
      </w:pPr>
      <w:r w:rsidRPr="00842404">
        <w:rPr>
          <w:sz w:val="18"/>
          <w:szCs w:val="18"/>
          <w:lang w:val="es-ES_tradnl"/>
        </w:rPr>
        <w:t>Datos de 2013</w:t>
      </w:r>
    </w:p>
    <w:p w:rsidR="00415212" w:rsidRPr="00842404" w:rsidRDefault="00415212" w:rsidP="00867306">
      <w:pPr>
        <w:pStyle w:val="Prrafodelista"/>
        <w:spacing w:line="360" w:lineRule="auto"/>
        <w:ind w:left="0"/>
        <w:jc w:val="both"/>
        <w:rPr>
          <w:sz w:val="18"/>
          <w:szCs w:val="18"/>
          <w:lang w:val="es-ES_tradnl"/>
        </w:rPr>
      </w:pPr>
    </w:p>
    <w:p w:rsidR="00867306" w:rsidRPr="00BE20A7" w:rsidRDefault="00867306" w:rsidP="00867306">
      <w:pPr>
        <w:pStyle w:val="Prrafodelista"/>
        <w:pBdr>
          <w:bottom w:val="single" w:sz="4" w:space="1" w:color="auto"/>
        </w:pBdr>
        <w:spacing w:line="360" w:lineRule="auto"/>
        <w:ind w:left="0"/>
        <w:jc w:val="both"/>
        <w:rPr>
          <w:sz w:val="24"/>
          <w:szCs w:val="24"/>
          <w:lang w:val="es-ES_tradnl"/>
        </w:rPr>
      </w:pPr>
      <w:r w:rsidRPr="00BE20A7">
        <w:rPr>
          <w:sz w:val="24"/>
          <w:szCs w:val="24"/>
          <w:lang w:val="es-ES_tradnl"/>
        </w:rPr>
        <w:t>En cuanto al ratio de personas con discapacidad sobre el número total de empleados</w:t>
      </w:r>
      <w:r w:rsidR="000667E7">
        <w:rPr>
          <w:sz w:val="24"/>
          <w:szCs w:val="24"/>
          <w:lang w:val="es-ES_tradnl"/>
        </w:rPr>
        <w:t>,</w:t>
      </w:r>
      <w:r w:rsidRPr="00BE20A7">
        <w:rPr>
          <w:sz w:val="24"/>
          <w:szCs w:val="24"/>
          <w:lang w:val="es-ES_tradnl"/>
        </w:rPr>
        <w:t xml:space="preserve"> no se aprecian diferencias llamativas entre los distintos sectores. Todos ellos muestran un ratio medio de personas con discapacidad sobre empleados totales de </w:t>
      </w:r>
      <w:r w:rsidR="000667E7">
        <w:rPr>
          <w:sz w:val="24"/>
          <w:szCs w:val="24"/>
          <w:lang w:val="es-ES_tradnl"/>
        </w:rPr>
        <w:t xml:space="preserve">al menos el 80%, </w:t>
      </w:r>
      <w:r w:rsidRPr="00BE20A7">
        <w:rPr>
          <w:sz w:val="24"/>
          <w:szCs w:val="24"/>
          <w:lang w:val="es-ES_tradnl"/>
        </w:rPr>
        <w:t>holgadamente por encima del 7</w:t>
      </w:r>
      <w:r>
        <w:rPr>
          <w:sz w:val="24"/>
          <w:szCs w:val="24"/>
          <w:lang w:val="es-ES_tradnl"/>
        </w:rPr>
        <w:t>0%</w:t>
      </w:r>
      <w:r w:rsidRPr="00BE20A7">
        <w:rPr>
          <w:sz w:val="24"/>
          <w:szCs w:val="24"/>
          <w:lang w:val="es-ES_tradnl"/>
        </w:rPr>
        <w:t>.</w:t>
      </w:r>
    </w:p>
    <w:p w:rsidR="00867306" w:rsidRPr="00BE20A7" w:rsidRDefault="00867306" w:rsidP="00867306">
      <w:pPr>
        <w:pStyle w:val="Prrafodelista"/>
        <w:pBdr>
          <w:bottom w:val="single" w:sz="4" w:space="1" w:color="auto"/>
        </w:pBdr>
        <w:spacing w:line="360" w:lineRule="auto"/>
        <w:ind w:left="0"/>
        <w:jc w:val="both"/>
        <w:rPr>
          <w:sz w:val="24"/>
          <w:szCs w:val="24"/>
          <w:lang w:val="es-ES_tradnl"/>
        </w:rPr>
      </w:pPr>
    </w:p>
    <w:p w:rsidR="00867306" w:rsidRPr="00BE20A7" w:rsidRDefault="003A7D46" w:rsidP="00EC2CFF">
      <w:pPr>
        <w:pStyle w:val="Prrafodelista"/>
        <w:spacing w:before="360" w:line="360" w:lineRule="auto"/>
        <w:ind w:left="-709"/>
        <w:rPr>
          <w:lang w:val="es-ES_tradnl"/>
        </w:rPr>
      </w:pPr>
      <w:r>
        <w:rPr>
          <w:noProof/>
          <w:lang w:eastAsia="es-ES"/>
        </w:rPr>
        <w:drawing>
          <wp:inline distT="0" distB="0" distL="0" distR="0">
            <wp:extent cx="6362700" cy="1513884"/>
            <wp:effectExtent l="0" t="0" r="0" b="0"/>
            <wp:docPr id="6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srcRect/>
                    <a:stretch>
                      <a:fillRect/>
                    </a:stretch>
                  </pic:blipFill>
                  <pic:spPr bwMode="auto">
                    <a:xfrm>
                      <a:off x="0" y="0"/>
                      <a:ext cx="6368509" cy="1515266"/>
                    </a:xfrm>
                    <a:prstGeom prst="rect">
                      <a:avLst/>
                    </a:prstGeom>
                    <a:noFill/>
                    <a:ln w="9525">
                      <a:noFill/>
                      <a:miter lim="800000"/>
                      <a:headEnd/>
                      <a:tailEnd/>
                    </a:ln>
                  </pic:spPr>
                </pic:pic>
              </a:graphicData>
            </a:graphic>
          </wp:inline>
        </w:drawing>
      </w:r>
    </w:p>
    <w:p w:rsidR="00867306" w:rsidRPr="00BE20A7" w:rsidRDefault="00867306" w:rsidP="00867306">
      <w:pPr>
        <w:pStyle w:val="Prrafodelista"/>
        <w:spacing w:line="360" w:lineRule="auto"/>
        <w:ind w:left="0"/>
        <w:jc w:val="both"/>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 la gráfica: Eje vertical: ratio medio de personas con discapacidad empleadas por los </w:t>
      </w:r>
      <w:r w:rsidR="00A95742">
        <w:rPr>
          <w:sz w:val="20"/>
          <w:lang w:val="es-ES_tradnl"/>
        </w:rPr>
        <w:t>CEEs</w:t>
      </w:r>
      <w:r w:rsidR="00867306" w:rsidRPr="00BE20A7">
        <w:rPr>
          <w:sz w:val="20"/>
          <w:lang w:val="es-ES_tradnl"/>
        </w:rPr>
        <w:t xml:space="preserve"> sobre el número total de empleados. Eje horizontal: sectores de actividad a los que se dedican los </w:t>
      </w:r>
      <w:r w:rsidR="00263316">
        <w:rPr>
          <w:sz w:val="20"/>
          <w:lang w:val="es-ES_tradnl"/>
        </w:rPr>
        <w:t>CEEs</w:t>
      </w:r>
      <w:r w:rsidR="00867306" w:rsidRPr="00BE20A7">
        <w:rPr>
          <w:sz w:val="20"/>
          <w:lang w:val="es-ES_tradnl"/>
        </w:rPr>
        <w:t xml:space="preserve"> de Castilla y León.</w:t>
      </w:r>
    </w:p>
    <w:p w:rsidR="00867306" w:rsidRDefault="000E5032" w:rsidP="00867306">
      <w:pPr>
        <w:pStyle w:val="Prrafodelista"/>
        <w:spacing w:before="360" w:line="360" w:lineRule="auto"/>
        <w:ind w:left="0"/>
        <w:rPr>
          <w:sz w:val="18"/>
          <w:szCs w:val="18"/>
          <w:lang w:val="es-ES_tradnl"/>
        </w:rPr>
      </w:pPr>
      <w:r w:rsidRPr="00842404">
        <w:rPr>
          <w:sz w:val="18"/>
          <w:szCs w:val="18"/>
          <w:lang w:val="es-ES_tradnl"/>
        </w:rPr>
        <w:t>Datos de 2013</w:t>
      </w:r>
    </w:p>
    <w:p w:rsidR="000E5032" w:rsidRPr="00842404" w:rsidRDefault="000E5032" w:rsidP="00867306">
      <w:pPr>
        <w:pStyle w:val="Prrafodelista"/>
        <w:spacing w:before="360" w:line="360" w:lineRule="auto"/>
        <w:ind w:left="0"/>
        <w:rPr>
          <w:sz w:val="18"/>
          <w:szCs w:val="18"/>
          <w:lang w:val="es-ES_tradnl"/>
        </w:rPr>
      </w:pPr>
    </w:p>
    <w:p w:rsidR="00867306" w:rsidRPr="00BE20A7" w:rsidRDefault="00867306" w:rsidP="00867306">
      <w:pPr>
        <w:pStyle w:val="Prrafodelista"/>
        <w:pBdr>
          <w:bottom w:val="single" w:sz="4" w:space="1" w:color="auto"/>
        </w:pBdr>
        <w:spacing w:line="360" w:lineRule="auto"/>
        <w:ind w:left="0"/>
        <w:jc w:val="both"/>
        <w:rPr>
          <w:sz w:val="24"/>
          <w:szCs w:val="24"/>
          <w:lang w:val="es-ES_tradnl"/>
        </w:rPr>
      </w:pPr>
      <w:r w:rsidRPr="00BE20A7">
        <w:rPr>
          <w:sz w:val="24"/>
          <w:szCs w:val="24"/>
          <w:lang w:val="es-ES_tradnl"/>
        </w:rPr>
        <w:t xml:space="preserve">La dispersión de los ratios individuales de los </w:t>
      </w:r>
      <w:r w:rsidR="00A95742">
        <w:rPr>
          <w:sz w:val="24"/>
          <w:szCs w:val="24"/>
          <w:lang w:val="es-ES_tradnl"/>
        </w:rPr>
        <w:t>CEEs</w:t>
      </w:r>
      <w:r w:rsidRPr="00BE20A7">
        <w:rPr>
          <w:sz w:val="24"/>
          <w:szCs w:val="24"/>
          <w:lang w:val="es-ES_tradnl"/>
        </w:rPr>
        <w:t>, divididos según el sector de actividad, aporta algunos matices interesantes. Por ejemplo, el sector de suministro de agua y gestión de residuos tiene un ratio de personas con discapacidad muy parecido al del sector de actividades sanitarias y de servicios sociales. Sin embargo</w:t>
      </w:r>
      <w:r w:rsidR="00837065">
        <w:rPr>
          <w:sz w:val="24"/>
          <w:szCs w:val="24"/>
          <w:lang w:val="es-ES_tradnl"/>
        </w:rPr>
        <w:t>, observamos que en el caso de</w:t>
      </w:r>
      <w:r w:rsidRPr="00BE20A7">
        <w:rPr>
          <w:sz w:val="24"/>
          <w:szCs w:val="24"/>
          <w:lang w:val="es-ES_tradnl"/>
        </w:rPr>
        <w:t xml:space="preserve">l sector de suministro de agua y gestión de residuos, hay el mismo número de </w:t>
      </w:r>
      <w:r w:rsidR="00A95742">
        <w:rPr>
          <w:sz w:val="24"/>
          <w:szCs w:val="24"/>
          <w:lang w:val="es-ES_tradnl"/>
        </w:rPr>
        <w:t>CEEs</w:t>
      </w:r>
      <w:r w:rsidRPr="00BE20A7">
        <w:rPr>
          <w:sz w:val="24"/>
          <w:szCs w:val="24"/>
          <w:lang w:val="es-ES_tradnl"/>
        </w:rPr>
        <w:t xml:space="preserve"> con un ratio de personas con discapacidad inferior al 0,8 que con ratio superior a 0,8; mientras que en el caso del sector de actividades sanitarias y de servicios sociales, todos tienen un ratio por encima de 0,8.</w:t>
      </w:r>
    </w:p>
    <w:p w:rsidR="00867306" w:rsidRPr="00BE20A7" w:rsidRDefault="00867306" w:rsidP="00867306">
      <w:pPr>
        <w:pStyle w:val="Prrafodelista"/>
        <w:pBdr>
          <w:bottom w:val="single" w:sz="4" w:space="1" w:color="auto"/>
        </w:pBdr>
        <w:spacing w:before="360" w:line="360" w:lineRule="auto"/>
        <w:ind w:left="0"/>
        <w:rPr>
          <w:sz w:val="24"/>
          <w:szCs w:val="24"/>
          <w:lang w:val="es-ES_tradnl"/>
        </w:rPr>
      </w:pPr>
    </w:p>
    <w:p w:rsidR="00867306" w:rsidRPr="00BE20A7" w:rsidRDefault="003A7D46" w:rsidP="00842404">
      <w:pPr>
        <w:pStyle w:val="Prrafodelista"/>
        <w:spacing w:before="360" w:line="360" w:lineRule="auto"/>
        <w:ind w:left="-851"/>
        <w:rPr>
          <w:sz w:val="20"/>
          <w:lang w:val="es-ES_tradnl"/>
        </w:rPr>
      </w:pPr>
      <w:r>
        <w:rPr>
          <w:noProof/>
          <w:lang w:eastAsia="es-ES"/>
        </w:rPr>
        <w:drawing>
          <wp:inline distT="0" distB="0" distL="0" distR="0">
            <wp:extent cx="6580955" cy="37096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srcRect/>
                    <a:stretch>
                      <a:fillRect/>
                    </a:stretch>
                  </pic:blipFill>
                  <pic:spPr bwMode="auto">
                    <a:xfrm>
                      <a:off x="0" y="0"/>
                      <a:ext cx="6584770" cy="3711821"/>
                    </a:xfrm>
                    <a:prstGeom prst="rect">
                      <a:avLst/>
                    </a:prstGeom>
                    <a:noFill/>
                    <a:ln w="9525">
                      <a:noFill/>
                      <a:miter lim="800000"/>
                      <a:headEnd/>
                      <a:tailEnd/>
                    </a:ln>
                  </pic:spPr>
                </pic:pic>
              </a:graphicData>
            </a:graphic>
          </wp:inline>
        </w:drawing>
      </w:r>
      <w:r w:rsidR="00867306" w:rsidRPr="00BE20A7">
        <w:rPr>
          <w:sz w:val="20"/>
          <w:lang w:val="es-ES_tradnl"/>
        </w:rPr>
        <w:t xml:space="preserve"> </w:t>
      </w:r>
    </w:p>
    <w:p w:rsidR="00867306" w:rsidRPr="00BE20A7" w:rsidRDefault="00867306" w:rsidP="00867306">
      <w:pPr>
        <w:pStyle w:val="Prrafodelista"/>
        <w:pBdr>
          <w:bottom w:val="single" w:sz="4" w:space="1" w:color="auto"/>
        </w:pBdr>
        <w:spacing w:line="360" w:lineRule="auto"/>
        <w:ind w:left="0"/>
        <w:jc w:val="both"/>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line="360" w:lineRule="auto"/>
        <w:ind w:left="0"/>
        <w:jc w:val="both"/>
        <w:rPr>
          <w:lang w:val="es-ES_tradnl"/>
        </w:rPr>
      </w:pPr>
      <w:r>
        <w:rPr>
          <w:sz w:val="20"/>
          <w:lang w:val="es-ES_tradnl"/>
        </w:rPr>
        <w:t xml:space="preserve">Nota </w:t>
      </w:r>
      <w:r w:rsidR="00867306" w:rsidRPr="00BE20A7">
        <w:rPr>
          <w:sz w:val="20"/>
          <w:lang w:val="es-ES_tradnl"/>
        </w:rPr>
        <w:t>explicativa de la gráfica:</w:t>
      </w:r>
      <w:r w:rsidR="00867306" w:rsidRPr="00BE20A7">
        <w:rPr>
          <w:lang w:val="es-ES_tradnl"/>
        </w:rPr>
        <w:t xml:space="preserve"> </w:t>
      </w:r>
      <w:r w:rsidR="00867306" w:rsidRPr="00BE20A7">
        <w:rPr>
          <w:sz w:val="20"/>
          <w:lang w:val="es-ES_tradnl"/>
        </w:rPr>
        <w:t xml:space="preserve">Eje vertical, Industria (se ha de utilizar la llave para ver la industria que corresponde a cada número del gráfico). Eje horizontal: Ratio de personas con discapacidad de los </w:t>
      </w:r>
      <w:r w:rsidR="00A95742">
        <w:rPr>
          <w:sz w:val="20"/>
          <w:lang w:val="es-ES_tradnl"/>
        </w:rPr>
        <w:t>CEEs</w:t>
      </w:r>
      <w:r w:rsidR="00867306" w:rsidRPr="00BE20A7">
        <w:rPr>
          <w:sz w:val="20"/>
          <w:lang w:val="es-ES_tradnl"/>
        </w:rPr>
        <w:t xml:space="preserve"> (número de personas con discapacidad empleadas sobre el número total de empleados del centro). Si un centro tiene un ratio = 1 quiere decir que todos los empleados del centro son personas con discapacidad.</w:t>
      </w:r>
    </w:p>
    <w:p w:rsidR="00867306" w:rsidRPr="00842404" w:rsidRDefault="000E5032" w:rsidP="00867306">
      <w:pPr>
        <w:pStyle w:val="Prrafodelista"/>
        <w:spacing w:before="360" w:line="360" w:lineRule="auto"/>
        <w:ind w:left="0"/>
        <w:rPr>
          <w:sz w:val="18"/>
          <w:szCs w:val="18"/>
          <w:lang w:val="es-ES_tradnl"/>
        </w:rPr>
      </w:pPr>
      <w:r w:rsidRPr="00842404">
        <w:rPr>
          <w:sz w:val="18"/>
          <w:szCs w:val="18"/>
          <w:lang w:val="es-ES_tradnl"/>
        </w:rPr>
        <w:t>Datos de 2013</w:t>
      </w:r>
    </w:p>
    <w:p w:rsidR="00867306" w:rsidRPr="00BE20A7" w:rsidRDefault="00867306" w:rsidP="00007982">
      <w:pPr>
        <w:pStyle w:val="Ttulo3"/>
        <w:rPr>
          <w:lang w:val="es-ES_tradnl"/>
        </w:rPr>
      </w:pPr>
      <w:bookmarkStart w:id="246" w:name="_Toc410916889"/>
      <w:r>
        <w:rPr>
          <w:lang w:val="es-ES_tradnl"/>
        </w:rPr>
        <w:t>Oportunidades para</w:t>
      </w:r>
      <w:r w:rsidRPr="00BE20A7">
        <w:rPr>
          <w:lang w:val="es-ES_tradnl"/>
        </w:rPr>
        <w:t xml:space="preserve"> </w:t>
      </w:r>
      <w:r w:rsidR="002329D9">
        <w:rPr>
          <w:lang w:val="es-ES_tradnl"/>
        </w:rPr>
        <w:t>personas con discapacidad con especiales dificultades</w:t>
      </w:r>
      <w:r w:rsidRPr="00BE20A7">
        <w:rPr>
          <w:lang w:val="es-ES_tradnl"/>
        </w:rPr>
        <w:t xml:space="preserve"> por sector</w:t>
      </w:r>
      <w:bookmarkEnd w:id="246"/>
    </w:p>
    <w:p w:rsidR="00867306" w:rsidRPr="00BE20A7" w:rsidRDefault="00867306" w:rsidP="00867306">
      <w:pPr>
        <w:pStyle w:val="Prrafodelista"/>
        <w:spacing w:line="360" w:lineRule="auto"/>
        <w:ind w:left="0"/>
        <w:jc w:val="both"/>
        <w:rPr>
          <w:b/>
          <w:sz w:val="24"/>
          <w:szCs w:val="24"/>
          <w:lang w:val="es-ES_tradnl"/>
        </w:rPr>
      </w:pPr>
    </w:p>
    <w:p w:rsidR="00867306" w:rsidRPr="00BE20A7"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Donde más diferencias muestran los </w:t>
      </w:r>
      <w:r w:rsidR="00A95742">
        <w:rPr>
          <w:sz w:val="24"/>
          <w:szCs w:val="24"/>
          <w:lang w:val="es-ES_tradnl"/>
        </w:rPr>
        <w:t>CEEs</w:t>
      </w:r>
      <w:r w:rsidRPr="00BE20A7">
        <w:rPr>
          <w:sz w:val="24"/>
          <w:szCs w:val="24"/>
          <w:lang w:val="es-ES_tradnl"/>
        </w:rPr>
        <w:t xml:space="preserve"> de distintos sectores es en lo relativo al número de </w:t>
      </w:r>
      <w:r w:rsidR="002329D9">
        <w:rPr>
          <w:sz w:val="24"/>
          <w:szCs w:val="24"/>
          <w:lang w:val="es-ES_tradnl"/>
        </w:rPr>
        <w:t>personas con especiales dificultades</w:t>
      </w:r>
      <w:r w:rsidRPr="00BE20A7">
        <w:rPr>
          <w:sz w:val="24"/>
          <w:szCs w:val="24"/>
          <w:lang w:val="es-ES_tradnl"/>
        </w:rPr>
        <w:t xml:space="preserve"> </w:t>
      </w:r>
      <w:r w:rsidR="000667E7">
        <w:rPr>
          <w:sz w:val="24"/>
          <w:szCs w:val="24"/>
          <w:lang w:val="es-ES_tradnl"/>
        </w:rPr>
        <w:t>empleadas</w:t>
      </w:r>
      <w:r w:rsidRPr="00BE20A7">
        <w:rPr>
          <w:sz w:val="24"/>
          <w:szCs w:val="24"/>
          <w:lang w:val="es-ES_tradnl"/>
        </w:rPr>
        <w:t xml:space="preserve">. En sectores como </w:t>
      </w:r>
      <w:r w:rsidR="005A76C3">
        <w:rPr>
          <w:sz w:val="24"/>
          <w:szCs w:val="24"/>
          <w:lang w:val="es-ES_tradnl"/>
        </w:rPr>
        <w:t>en el de actividades san</w:t>
      </w:r>
      <w:r w:rsidR="000667E7">
        <w:rPr>
          <w:sz w:val="24"/>
          <w:szCs w:val="24"/>
          <w:lang w:val="es-ES_tradnl"/>
        </w:rPr>
        <w:t>itarias y de servicios sociales</w:t>
      </w:r>
      <w:r w:rsidR="005A76C3">
        <w:rPr>
          <w:sz w:val="24"/>
          <w:szCs w:val="24"/>
          <w:lang w:val="es-ES_tradnl"/>
        </w:rPr>
        <w:t xml:space="preserve"> un gran porcentaje de los</w:t>
      </w:r>
      <w:r w:rsidRPr="00BE20A7">
        <w:rPr>
          <w:sz w:val="24"/>
          <w:szCs w:val="24"/>
          <w:lang w:val="es-ES_tradnl"/>
        </w:rPr>
        <w:t xml:space="preserve"> empleados </w:t>
      </w:r>
      <w:r w:rsidR="000667E7">
        <w:rPr>
          <w:sz w:val="24"/>
          <w:szCs w:val="24"/>
          <w:lang w:val="es-ES_tradnl"/>
        </w:rPr>
        <w:t>tienen especiales dificultades</w:t>
      </w:r>
      <w:r w:rsidR="005A76C3">
        <w:rPr>
          <w:sz w:val="24"/>
          <w:szCs w:val="24"/>
          <w:lang w:val="es-ES_tradnl"/>
        </w:rPr>
        <w:t xml:space="preserve">. </w:t>
      </w:r>
    </w:p>
    <w:p w:rsidR="00867306" w:rsidRPr="00BE20A7" w:rsidRDefault="00867306" w:rsidP="00867306">
      <w:pPr>
        <w:pStyle w:val="Prrafodelista"/>
        <w:pBdr>
          <w:bottom w:val="single" w:sz="4" w:space="1" w:color="auto"/>
        </w:pBdr>
        <w:spacing w:before="360" w:line="360" w:lineRule="auto"/>
        <w:ind w:left="0"/>
        <w:rPr>
          <w:sz w:val="24"/>
          <w:szCs w:val="24"/>
          <w:lang w:val="es-ES_tradnl"/>
        </w:rPr>
      </w:pPr>
    </w:p>
    <w:p w:rsidR="00867306" w:rsidRPr="00BE20A7" w:rsidRDefault="00C03DDB" w:rsidP="00842404">
      <w:pPr>
        <w:pStyle w:val="Prrafodelista"/>
        <w:spacing w:before="360" w:line="360" w:lineRule="auto"/>
        <w:ind w:left="-851"/>
        <w:rPr>
          <w:lang w:val="es-ES_tradnl"/>
        </w:rPr>
      </w:pPr>
      <w:r>
        <w:rPr>
          <w:noProof/>
          <w:lang w:eastAsia="es-ES"/>
        </w:rPr>
        <w:drawing>
          <wp:inline distT="0" distB="0" distL="0" distR="0">
            <wp:extent cx="6190336" cy="2855343"/>
            <wp:effectExtent l="0" t="0" r="127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6194306" cy="2857174"/>
                    </a:xfrm>
                    <a:prstGeom prst="rect">
                      <a:avLst/>
                    </a:prstGeom>
                  </pic:spPr>
                </pic:pic>
              </a:graphicData>
            </a:graphic>
          </wp:inline>
        </w:drawing>
      </w:r>
    </w:p>
    <w:p w:rsidR="00867306" w:rsidRPr="00BE20A7" w:rsidRDefault="00867306" w:rsidP="00867306">
      <w:pPr>
        <w:pStyle w:val="Prrafodelista"/>
        <w:pBdr>
          <w:bottom w:val="single" w:sz="4" w:space="1" w:color="auto"/>
        </w:pBdr>
        <w:spacing w:line="360" w:lineRule="auto"/>
        <w:ind w:left="0"/>
        <w:jc w:val="both"/>
        <w:rPr>
          <w:sz w:val="20"/>
          <w:lang w:val="es-ES_tradnl"/>
        </w:rPr>
      </w:pPr>
      <w:r w:rsidRPr="00BE20A7">
        <w:rPr>
          <w:sz w:val="20"/>
          <w:lang w:val="es-ES_tradnl"/>
        </w:rPr>
        <w:t>Fuente: elaboración propia</w:t>
      </w:r>
    </w:p>
    <w:p w:rsidR="00867306" w:rsidRPr="00BE20A7"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 la gráfica: Eje vertical: ratio medio de </w:t>
      </w:r>
      <w:r w:rsidR="002329D9">
        <w:rPr>
          <w:sz w:val="20"/>
          <w:lang w:val="es-ES_tradnl"/>
        </w:rPr>
        <w:t>personas con discapacidad con especiales dificultades</w:t>
      </w:r>
      <w:r w:rsidR="00867306" w:rsidRPr="00BE20A7">
        <w:rPr>
          <w:sz w:val="20"/>
          <w:lang w:val="es-ES_tradnl"/>
        </w:rPr>
        <w:t xml:space="preserve"> sobre el total de persona con discapacidad empleadas por los </w:t>
      </w:r>
      <w:r w:rsidR="00A95742">
        <w:rPr>
          <w:sz w:val="20"/>
          <w:lang w:val="es-ES_tradnl"/>
        </w:rPr>
        <w:t>CEEs</w:t>
      </w:r>
      <w:r w:rsidR="00867306" w:rsidRPr="00BE20A7">
        <w:rPr>
          <w:sz w:val="20"/>
          <w:lang w:val="es-ES_tradnl"/>
        </w:rPr>
        <w:t xml:space="preserve">. Eje horizontal: sectores de actividad a los que se dedican los </w:t>
      </w:r>
      <w:r w:rsidR="00263316">
        <w:rPr>
          <w:sz w:val="20"/>
          <w:lang w:val="es-ES_tradnl"/>
        </w:rPr>
        <w:t>CEEs</w:t>
      </w:r>
      <w:r w:rsidR="00867306" w:rsidRPr="00BE20A7">
        <w:rPr>
          <w:sz w:val="20"/>
          <w:lang w:val="es-ES_tradnl"/>
        </w:rPr>
        <w:t xml:space="preserve"> de Castilla y León.</w:t>
      </w:r>
    </w:p>
    <w:p w:rsidR="00867306" w:rsidRDefault="000E5032" w:rsidP="00867306">
      <w:pPr>
        <w:pStyle w:val="Prrafodelista"/>
        <w:spacing w:before="360" w:line="360" w:lineRule="auto"/>
        <w:ind w:left="0"/>
        <w:rPr>
          <w:sz w:val="18"/>
          <w:szCs w:val="18"/>
          <w:lang w:val="es-ES_tradnl"/>
        </w:rPr>
      </w:pPr>
      <w:r w:rsidRPr="00842404">
        <w:rPr>
          <w:sz w:val="18"/>
          <w:szCs w:val="18"/>
          <w:lang w:val="es-ES_tradnl"/>
        </w:rPr>
        <w:t>Datos de 2013</w:t>
      </w:r>
    </w:p>
    <w:p w:rsidR="000E5032" w:rsidRPr="00842404" w:rsidRDefault="000E5032" w:rsidP="00867306">
      <w:pPr>
        <w:pStyle w:val="Prrafodelista"/>
        <w:spacing w:before="360" w:line="360" w:lineRule="auto"/>
        <w:ind w:left="0"/>
        <w:rPr>
          <w:sz w:val="18"/>
          <w:szCs w:val="18"/>
          <w:lang w:val="es-ES_tradnl"/>
        </w:rPr>
      </w:pPr>
    </w:p>
    <w:p w:rsidR="00867306" w:rsidRPr="00BE20A7"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De nuevo, la observación de los resultados particulares de cada sector ofrece algunos matices. En los </w:t>
      </w:r>
      <w:r w:rsidR="00A95742">
        <w:rPr>
          <w:sz w:val="24"/>
          <w:szCs w:val="24"/>
          <w:lang w:val="es-ES_tradnl"/>
        </w:rPr>
        <w:t>CEEs</w:t>
      </w:r>
      <w:r w:rsidRPr="00BE20A7">
        <w:rPr>
          <w:sz w:val="24"/>
          <w:szCs w:val="24"/>
          <w:lang w:val="es-ES_tradnl"/>
        </w:rPr>
        <w:t xml:space="preserve"> del sector de actividades sanitarias y de servicios sociales, por ejemplo, más de un 60% de las personas con discapacidad empleadas tienen </w:t>
      </w:r>
      <w:r w:rsidR="00F72EDA">
        <w:rPr>
          <w:sz w:val="24"/>
          <w:szCs w:val="24"/>
          <w:lang w:val="es-ES_tradnl"/>
        </w:rPr>
        <w:t>especiales dificultades</w:t>
      </w:r>
      <w:r w:rsidRPr="00BE20A7">
        <w:rPr>
          <w:sz w:val="24"/>
          <w:szCs w:val="24"/>
          <w:lang w:val="es-ES_tradnl"/>
        </w:rPr>
        <w:t xml:space="preserve">. </w:t>
      </w:r>
    </w:p>
    <w:p w:rsidR="00867306" w:rsidRPr="00BE20A7" w:rsidRDefault="00867306" w:rsidP="00867306">
      <w:pPr>
        <w:pStyle w:val="Prrafodelista"/>
        <w:pBdr>
          <w:bottom w:val="single" w:sz="4" w:space="1" w:color="auto"/>
        </w:pBdr>
        <w:spacing w:before="360" w:line="360" w:lineRule="auto"/>
        <w:ind w:left="0"/>
        <w:rPr>
          <w:sz w:val="24"/>
          <w:szCs w:val="24"/>
          <w:lang w:val="es-ES_tradnl"/>
        </w:rPr>
      </w:pPr>
    </w:p>
    <w:p w:rsidR="00867306" w:rsidRPr="00BE20A7" w:rsidRDefault="00867306" w:rsidP="00867306">
      <w:pPr>
        <w:pStyle w:val="Prrafodelista"/>
        <w:spacing w:before="360" w:line="360" w:lineRule="auto"/>
        <w:ind w:left="-993"/>
        <w:rPr>
          <w:lang w:val="es-ES_tradnl"/>
        </w:rPr>
      </w:pPr>
    </w:p>
    <w:p w:rsidR="00867306" w:rsidRPr="00BE20A7" w:rsidRDefault="00C03DDB" w:rsidP="00842404">
      <w:pPr>
        <w:pStyle w:val="Prrafodelista"/>
        <w:spacing w:before="360" w:line="360" w:lineRule="auto"/>
        <w:ind w:left="-709"/>
        <w:jc w:val="center"/>
        <w:rPr>
          <w:sz w:val="20"/>
          <w:lang w:val="es-ES_tradnl"/>
        </w:rPr>
      </w:pPr>
      <w:r>
        <w:rPr>
          <w:noProof/>
          <w:lang w:eastAsia="es-ES"/>
        </w:rPr>
        <w:drawing>
          <wp:inline distT="0" distB="0" distL="0" distR="0">
            <wp:extent cx="6265347" cy="3510951"/>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6279585" cy="3518930"/>
                    </a:xfrm>
                    <a:prstGeom prst="rect">
                      <a:avLst/>
                    </a:prstGeom>
                  </pic:spPr>
                </pic:pic>
              </a:graphicData>
            </a:graphic>
          </wp:inline>
        </w:drawing>
      </w:r>
    </w:p>
    <w:p w:rsidR="00867306" w:rsidRPr="00BE20A7" w:rsidRDefault="00867306" w:rsidP="00867306">
      <w:pPr>
        <w:pStyle w:val="Prrafodelista"/>
        <w:spacing w:line="360" w:lineRule="auto"/>
        <w:ind w:left="0"/>
        <w:jc w:val="both"/>
        <w:rPr>
          <w:sz w:val="20"/>
          <w:lang w:val="es-ES_tradnl"/>
        </w:rPr>
      </w:pPr>
      <w:r w:rsidRPr="00BE20A7">
        <w:rPr>
          <w:sz w:val="20"/>
          <w:lang w:val="es-ES_tradnl"/>
        </w:rPr>
        <w:t>Fuente: elaboración propia</w:t>
      </w:r>
    </w:p>
    <w:p w:rsidR="00867306" w:rsidRDefault="007751C0">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explicativa de la gráfica:</w:t>
      </w:r>
      <w:r w:rsidR="00867306" w:rsidRPr="00BE20A7">
        <w:rPr>
          <w:lang w:val="es-ES_tradnl"/>
        </w:rPr>
        <w:t xml:space="preserve"> </w:t>
      </w:r>
      <w:r w:rsidR="00867306" w:rsidRPr="00BE20A7">
        <w:rPr>
          <w:sz w:val="20"/>
          <w:lang w:val="es-ES_tradnl"/>
        </w:rPr>
        <w:t>Eje vertical, Industria (se ha de utilizar la llave para ver la industria que corresponde a cada número del gráfico). Eje horizontal: Ratio de p</w:t>
      </w:r>
      <w:r w:rsidR="00F72EDA">
        <w:rPr>
          <w:sz w:val="20"/>
          <w:lang w:val="es-ES_tradnl"/>
        </w:rPr>
        <w:t>ersonas con especiales dificultades</w:t>
      </w:r>
      <w:r w:rsidR="00867306" w:rsidRPr="00BE20A7">
        <w:rPr>
          <w:sz w:val="20"/>
          <w:lang w:val="es-ES_tradnl"/>
        </w:rPr>
        <w:t xml:space="preserve"> de los </w:t>
      </w:r>
      <w:r w:rsidR="00A95742">
        <w:rPr>
          <w:sz w:val="20"/>
          <w:lang w:val="es-ES_tradnl"/>
        </w:rPr>
        <w:t>CEEs</w:t>
      </w:r>
      <w:r w:rsidR="00867306" w:rsidRPr="00BE20A7">
        <w:rPr>
          <w:sz w:val="20"/>
          <w:lang w:val="es-ES_tradnl"/>
        </w:rPr>
        <w:t xml:space="preserve"> (número de personas con </w:t>
      </w:r>
      <w:r w:rsidR="00F72EDA">
        <w:rPr>
          <w:sz w:val="20"/>
          <w:lang w:val="es-ES_tradnl"/>
        </w:rPr>
        <w:t>especiales dificultades</w:t>
      </w:r>
      <w:r w:rsidR="00867306" w:rsidRPr="00BE20A7">
        <w:rPr>
          <w:sz w:val="20"/>
          <w:lang w:val="es-ES_tradnl"/>
        </w:rPr>
        <w:t xml:space="preserve"> empleadas sobre el número total de empleados con discapacidad del centro). Si un centro tiene un ratio = 1 quiere</w:t>
      </w:r>
      <w:r w:rsidR="00F72EDA">
        <w:rPr>
          <w:sz w:val="20"/>
          <w:lang w:val="es-ES_tradnl"/>
        </w:rPr>
        <w:t xml:space="preserve"> decir que todos los empleados </w:t>
      </w:r>
      <w:r w:rsidR="00867306" w:rsidRPr="00BE20A7">
        <w:rPr>
          <w:sz w:val="20"/>
          <w:lang w:val="es-ES_tradnl"/>
        </w:rPr>
        <w:t>c</w:t>
      </w:r>
      <w:r w:rsidR="00F72EDA">
        <w:rPr>
          <w:sz w:val="20"/>
          <w:lang w:val="es-ES_tradnl"/>
        </w:rPr>
        <w:t>o</w:t>
      </w:r>
      <w:r w:rsidR="00867306" w:rsidRPr="00BE20A7">
        <w:rPr>
          <w:sz w:val="20"/>
          <w:lang w:val="es-ES_tradnl"/>
        </w:rPr>
        <w:t xml:space="preserve">n discapacidad del centro son personas con </w:t>
      </w:r>
      <w:r w:rsidR="00F72EDA">
        <w:rPr>
          <w:sz w:val="20"/>
          <w:lang w:val="es-ES_tradnl"/>
        </w:rPr>
        <w:t>especiales dificultades</w:t>
      </w:r>
      <w:r w:rsidR="00867306" w:rsidRPr="00BE20A7">
        <w:rPr>
          <w:sz w:val="20"/>
          <w:lang w:val="es-ES_tradnl"/>
        </w:rPr>
        <w:t>.</w:t>
      </w:r>
    </w:p>
    <w:p w:rsidR="000E5032" w:rsidRPr="00842404" w:rsidRDefault="000E5032" w:rsidP="00842404">
      <w:pPr>
        <w:pStyle w:val="Prrafodelista"/>
        <w:spacing w:line="360" w:lineRule="auto"/>
        <w:ind w:left="0"/>
        <w:jc w:val="both"/>
        <w:rPr>
          <w:sz w:val="18"/>
          <w:szCs w:val="18"/>
          <w:lang w:val="es-ES_tradnl"/>
        </w:rPr>
      </w:pPr>
      <w:r w:rsidRPr="00842404">
        <w:rPr>
          <w:sz w:val="18"/>
          <w:szCs w:val="18"/>
          <w:lang w:val="es-ES_tradnl"/>
        </w:rPr>
        <w:t>Datos de 2013</w:t>
      </w:r>
    </w:p>
    <w:p w:rsidR="00867306" w:rsidRPr="00BE20A7" w:rsidRDefault="00867306" w:rsidP="00007982">
      <w:pPr>
        <w:pStyle w:val="Ttulo3"/>
        <w:rPr>
          <w:szCs w:val="24"/>
          <w:lang w:val="es-ES_tradnl"/>
        </w:rPr>
      </w:pPr>
      <w:bookmarkStart w:id="247" w:name="_Toc402872712"/>
      <w:bookmarkStart w:id="248" w:name="_Toc402883569"/>
      <w:bookmarkStart w:id="249" w:name="_Toc402883726"/>
      <w:bookmarkStart w:id="250" w:name="_Toc402884625"/>
      <w:bookmarkStart w:id="251" w:name="_Toc410916890"/>
      <w:bookmarkEnd w:id="247"/>
      <w:bookmarkEnd w:id="248"/>
      <w:bookmarkEnd w:id="249"/>
      <w:bookmarkEnd w:id="250"/>
      <w:r w:rsidRPr="00BE20A7">
        <w:rPr>
          <w:szCs w:val="24"/>
          <w:lang w:val="es-ES_tradnl"/>
        </w:rPr>
        <w:t>Dinamización de los entornos rurales por sector</w:t>
      </w:r>
      <w:bookmarkEnd w:id="251"/>
    </w:p>
    <w:p w:rsidR="00867306" w:rsidRPr="00BE20A7" w:rsidRDefault="00867306" w:rsidP="00867306">
      <w:pPr>
        <w:pStyle w:val="Prrafodelista"/>
        <w:spacing w:line="360" w:lineRule="auto"/>
        <w:ind w:left="0"/>
        <w:jc w:val="both"/>
        <w:rPr>
          <w:b/>
          <w:sz w:val="24"/>
          <w:szCs w:val="24"/>
          <w:lang w:val="es-ES_tradnl"/>
        </w:rPr>
      </w:pPr>
    </w:p>
    <w:p w:rsidR="00867306" w:rsidRDefault="00867306" w:rsidP="00867306">
      <w:pPr>
        <w:pStyle w:val="Prrafodelista"/>
        <w:spacing w:line="360" w:lineRule="auto"/>
        <w:ind w:left="0"/>
        <w:jc w:val="both"/>
        <w:rPr>
          <w:sz w:val="24"/>
          <w:szCs w:val="24"/>
          <w:lang w:val="es-ES_tradnl"/>
        </w:rPr>
      </w:pPr>
      <w:r w:rsidRPr="00BE20A7">
        <w:rPr>
          <w:sz w:val="24"/>
          <w:szCs w:val="24"/>
          <w:lang w:val="es-ES_tradnl"/>
        </w:rPr>
        <w:t xml:space="preserve">El análisis del entorno municipal donde se sitúan los </w:t>
      </w:r>
      <w:r w:rsidR="00263316">
        <w:rPr>
          <w:sz w:val="24"/>
          <w:szCs w:val="24"/>
          <w:lang w:val="es-ES_tradnl"/>
        </w:rPr>
        <w:t>CEEs</w:t>
      </w:r>
      <w:r w:rsidRPr="00BE20A7">
        <w:rPr>
          <w:sz w:val="24"/>
          <w:szCs w:val="24"/>
          <w:lang w:val="es-ES_tradnl"/>
        </w:rPr>
        <w:t xml:space="preserve"> permite observar algunas diferencias entre los sectores. </w:t>
      </w:r>
    </w:p>
    <w:p w:rsidR="000667E7" w:rsidRPr="00BE20A7" w:rsidRDefault="000667E7" w:rsidP="00867306">
      <w:pPr>
        <w:pStyle w:val="Prrafodelista"/>
        <w:spacing w:line="360" w:lineRule="auto"/>
        <w:ind w:left="0"/>
        <w:jc w:val="both"/>
        <w:rPr>
          <w:lang w:val="es-ES_tradnl"/>
        </w:rPr>
      </w:pPr>
    </w:p>
    <w:p w:rsidR="00867306" w:rsidRPr="00BE20A7" w:rsidRDefault="00867306" w:rsidP="00867306">
      <w:pPr>
        <w:pStyle w:val="Prrafodelista"/>
        <w:pBdr>
          <w:bottom w:val="single" w:sz="4" w:space="1" w:color="auto"/>
        </w:pBdr>
        <w:spacing w:line="360" w:lineRule="auto"/>
        <w:ind w:left="0"/>
        <w:jc w:val="both"/>
        <w:rPr>
          <w:sz w:val="24"/>
          <w:szCs w:val="24"/>
          <w:lang w:val="es-ES_tradnl"/>
        </w:rPr>
      </w:pPr>
      <w:r w:rsidRPr="00BE20A7">
        <w:rPr>
          <w:sz w:val="24"/>
          <w:szCs w:val="24"/>
          <w:lang w:val="es-ES_tradnl"/>
        </w:rPr>
        <w:t xml:space="preserve">En el caso de la industria manufacturera, la mitad de la actividad de los </w:t>
      </w:r>
      <w:r w:rsidR="00A95742">
        <w:rPr>
          <w:sz w:val="24"/>
          <w:szCs w:val="24"/>
          <w:lang w:val="es-ES_tradnl"/>
        </w:rPr>
        <w:t>CEEs</w:t>
      </w:r>
      <w:r w:rsidRPr="00BE20A7">
        <w:rPr>
          <w:sz w:val="24"/>
          <w:szCs w:val="24"/>
          <w:lang w:val="es-ES_tradnl"/>
        </w:rPr>
        <w:t xml:space="preserve"> se concentra en entornos rurales, lo que supone un gran estímulo en el ámbito rural El sector de actividades administrativas y de servicios auxiliares, así como el de actividades profesionales y científicas, crean menos impacto en este sentido, ya que la mayoría de</w:t>
      </w:r>
      <w:r w:rsidRPr="00BE20A7">
        <w:rPr>
          <w:lang w:val="es-ES_tradnl"/>
        </w:rPr>
        <w:t xml:space="preserve"> </w:t>
      </w:r>
      <w:r w:rsidRPr="00BE20A7">
        <w:rPr>
          <w:sz w:val="24"/>
          <w:szCs w:val="24"/>
          <w:lang w:val="es-ES_tradnl"/>
        </w:rPr>
        <w:t xml:space="preserve">los </w:t>
      </w:r>
      <w:r w:rsidR="000667E7">
        <w:rPr>
          <w:sz w:val="24"/>
          <w:szCs w:val="24"/>
          <w:lang w:val="es-ES_tradnl"/>
        </w:rPr>
        <w:t xml:space="preserve">centros </w:t>
      </w:r>
      <w:r w:rsidRPr="00BE20A7">
        <w:rPr>
          <w:sz w:val="24"/>
          <w:szCs w:val="24"/>
          <w:lang w:val="es-ES_tradnl"/>
        </w:rPr>
        <w:t>de esos sectores concentran su actividad en entornos urbanos.</w:t>
      </w:r>
    </w:p>
    <w:p w:rsidR="00867306" w:rsidRPr="00842404" w:rsidRDefault="00867306" w:rsidP="00867306">
      <w:pPr>
        <w:pStyle w:val="Prrafodelista"/>
        <w:pBdr>
          <w:bottom w:val="single" w:sz="4" w:space="1" w:color="auto"/>
        </w:pBdr>
        <w:spacing w:before="360" w:line="360" w:lineRule="auto"/>
        <w:ind w:left="0"/>
        <w:rPr>
          <w:sz w:val="18"/>
          <w:szCs w:val="18"/>
          <w:lang w:val="es-ES_tradnl"/>
        </w:rPr>
      </w:pPr>
    </w:p>
    <w:p w:rsidR="00867306" w:rsidRPr="00BE20A7" w:rsidRDefault="007A4608" w:rsidP="00007982">
      <w:pPr>
        <w:pStyle w:val="Prrafodelista"/>
        <w:spacing w:before="360" w:line="360" w:lineRule="auto"/>
        <w:ind w:left="-567"/>
        <w:rPr>
          <w:lang w:val="es-ES_tradnl"/>
        </w:rPr>
      </w:pPr>
      <w:r>
        <w:rPr>
          <w:noProof/>
          <w:lang w:eastAsia="es-ES"/>
        </w:rPr>
        <w:drawing>
          <wp:inline distT="0" distB="0" distL="0" distR="0">
            <wp:extent cx="6159260" cy="2777705"/>
            <wp:effectExtent l="0" t="0" r="0" b="381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67306" w:rsidRPr="00BE20A7" w:rsidRDefault="00867306" w:rsidP="00867306">
      <w:pPr>
        <w:pStyle w:val="Prrafodelista"/>
        <w:spacing w:before="360" w:line="360" w:lineRule="auto"/>
        <w:ind w:left="0"/>
        <w:rPr>
          <w:sz w:val="20"/>
          <w:lang w:val="es-ES_tradnl"/>
        </w:rPr>
      </w:pPr>
    </w:p>
    <w:p w:rsidR="00867306" w:rsidRPr="00BE20A7" w:rsidRDefault="00867306" w:rsidP="00867306">
      <w:pPr>
        <w:pStyle w:val="Prrafodelista"/>
        <w:spacing w:line="360" w:lineRule="auto"/>
        <w:ind w:left="0"/>
        <w:jc w:val="both"/>
        <w:rPr>
          <w:sz w:val="20"/>
          <w:lang w:val="es-ES_tradnl"/>
        </w:rPr>
      </w:pPr>
      <w:r w:rsidRPr="00BE20A7">
        <w:rPr>
          <w:sz w:val="20"/>
          <w:lang w:val="es-ES_tradnl"/>
        </w:rPr>
        <w:t>Fuente: elaboración propia</w:t>
      </w:r>
    </w:p>
    <w:p w:rsidR="00867306" w:rsidRDefault="007751C0" w:rsidP="00867306">
      <w:pPr>
        <w:pStyle w:val="Prrafodelista"/>
        <w:pBdr>
          <w:bottom w:val="single" w:sz="4" w:space="1" w:color="auto"/>
        </w:pBdr>
        <w:spacing w:line="360" w:lineRule="auto"/>
        <w:ind w:left="0"/>
        <w:jc w:val="both"/>
        <w:rPr>
          <w:sz w:val="20"/>
          <w:lang w:val="es-ES_tradnl"/>
        </w:rPr>
      </w:pPr>
      <w:r>
        <w:rPr>
          <w:sz w:val="20"/>
          <w:lang w:val="es-ES_tradnl"/>
        </w:rPr>
        <w:t xml:space="preserve">Nota </w:t>
      </w:r>
      <w:r w:rsidR="00867306" w:rsidRPr="00BE20A7">
        <w:rPr>
          <w:sz w:val="20"/>
          <w:lang w:val="es-ES_tradnl"/>
        </w:rPr>
        <w:t xml:space="preserve">explicativa de la gráfica: Eje vertical, porcentaje de </w:t>
      </w:r>
      <w:r w:rsidR="00A95742">
        <w:rPr>
          <w:sz w:val="20"/>
          <w:lang w:val="es-ES_tradnl"/>
        </w:rPr>
        <w:t>CEEs</w:t>
      </w:r>
      <w:r w:rsidR="00867306" w:rsidRPr="00BE20A7">
        <w:rPr>
          <w:sz w:val="20"/>
          <w:lang w:val="es-ES_tradnl"/>
        </w:rPr>
        <w:t xml:space="preserve"> situados en municipios de menos de 20.000 habitantes y porcentaje de </w:t>
      </w:r>
      <w:r w:rsidR="00A95742">
        <w:rPr>
          <w:sz w:val="20"/>
          <w:lang w:val="es-ES_tradnl"/>
        </w:rPr>
        <w:t>CEEs</w:t>
      </w:r>
      <w:r w:rsidR="00867306" w:rsidRPr="00BE20A7">
        <w:rPr>
          <w:sz w:val="20"/>
          <w:lang w:val="es-ES_tradnl"/>
        </w:rPr>
        <w:t xml:space="preserve"> situados en municipios de más de 20.000 habitantes. Eje horizontal, división de los </w:t>
      </w:r>
      <w:r w:rsidR="00A95742">
        <w:rPr>
          <w:sz w:val="20"/>
          <w:lang w:val="es-ES_tradnl"/>
        </w:rPr>
        <w:t>CEEs</w:t>
      </w:r>
      <w:r w:rsidR="00867306" w:rsidRPr="00BE20A7">
        <w:rPr>
          <w:sz w:val="20"/>
          <w:lang w:val="es-ES_tradnl"/>
        </w:rPr>
        <w:t xml:space="preserve"> por sector</w:t>
      </w:r>
    </w:p>
    <w:p w:rsidR="0068703A" w:rsidRPr="0068703A" w:rsidRDefault="0068703A" w:rsidP="0068703A">
      <w:pPr>
        <w:pStyle w:val="Prrafodelista"/>
        <w:spacing w:before="360" w:line="360" w:lineRule="auto"/>
        <w:ind w:left="0"/>
        <w:rPr>
          <w:sz w:val="18"/>
          <w:szCs w:val="18"/>
          <w:lang w:val="es-ES_tradnl"/>
        </w:rPr>
      </w:pPr>
      <w:r w:rsidRPr="00842404">
        <w:rPr>
          <w:sz w:val="18"/>
          <w:szCs w:val="18"/>
          <w:lang w:val="es-ES_tradnl"/>
        </w:rPr>
        <w:t xml:space="preserve">Datos de </w:t>
      </w:r>
      <w:r>
        <w:rPr>
          <w:sz w:val="18"/>
          <w:szCs w:val="18"/>
          <w:lang w:val="es-ES_tradnl"/>
        </w:rPr>
        <w:t>2011-</w:t>
      </w:r>
      <w:r w:rsidRPr="00842404">
        <w:rPr>
          <w:sz w:val="18"/>
          <w:szCs w:val="18"/>
          <w:lang w:val="es-ES_tradnl"/>
        </w:rPr>
        <w:t>2013</w:t>
      </w:r>
    </w:p>
    <w:p w:rsidR="009C781F" w:rsidRDefault="0022788E" w:rsidP="005314FA">
      <w:pPr>
        <w:pStyle w:val="Ttulo1"/>
        <w:rPr>
          <w:lang w:val="es-ES_tradnl"/>
        </w:rPr>
      </w:pPr>
      <w:bookmarkStart w:id="252" w:name="_Toc402872714"/>
      <w:bookmarkStart w:id="253" w:name="_Toc402883571"/>
      <w:bookmarkStart w:id="254" w:name="_Toc402883728"/>
      <w:bookmarkStart w:id="255" w:name="_Toc402884627"/>
      <w:bookmarkStart w:id="256" w:name="_Toc402872715"/>
      <w:bookmarkStart w:id="257" w:name="_Toc402883572"/>
      <w:bookmarkStart w:id="258" w:name="_Toc402883729"/>
      <w:bookmarkStart w:id="259" w:name="_Toc402884628"/>
      <w:bookmarkStart w:id="260" w:name="_Toc402872716"/>
      <w:bookmarkStart w:id="261" w:name="_Toc402883573"/>
      <w:bookmarkStart w:id="262" w:name="_Toc402883730"/>
      <w:bookmarkStart w:id="263" w:name="_Toc402884629"/>
      <w:bookmarkStart w:id="264" w:name="_Toc402872717"/>
      <w:bookmarkStart w:id="265" w:name="_Toc402883574"/>
      <w:bookmarkStart w:id="266" w:name="_Toc402883731"/>
      <w:bookmarkStart w:id="267" w:name="_Toc402884630"/>
      <w:bookmarkStart w:id="268" w:name="_Toc402872718"/>
      <w:bookmarkStart w:id="269" w:name="_Toc402883575"/>
      <w:bookmarkStart w:id="270" w:name="_Toc402883732"/>
      <w:bookmarkStart w:id="271" w:name="_Toc402884631"/>
      <w:bookmarkStart w:id="272" w:name="_Toc402872719"/>
      <w:bookmarkStart w:id="273" w:name="_Toc402883576"/>
      <w:bookmarkStart w:id="274" w:name="_Toc402883733"/>
      <w:bookmarkStart w:id="275" w:name="_Toc402884632"/>
      <w:bookmarkStart w:id="276" w:name="_Toc402872720"/>
      <w:bookmarkStart w:id="277" w:name="_Toc402883577"/>
      <w:bookmarkStart w:id="278" w:name="_Toc402883734"/>
      <w:bookmarkStart w:id="279" w:name="_Toc402884633"/>
      <w:bookmarkStart w:id="280" w:name="_Toc402872721"/>
      <w:bookmarkStart w:id="281" w:name="_Toc402883578"/>
      <w:bookmarkStart w:id="282" w:name="_Toc402883735"/>
      <w:bookmarkStart w:id="283" w:name="_Toc402884634"/>
      <w:bookmarkStart w:id="284" w:name="_Toc402872722"/>
      <w:bookmarkStart w:id="285" w:name="_Toc402883579"/>
      <w:bookmarkStart w:id="286" w:name="_Toc402883736"/>
      <w:bookmarkStart w:id="287" w:name="_Toc402884635"/>
      <w:bookmarkStart w:id="288" w:name="_Toc402872723"/>
      <w:bookmarkStart w:id="289" w:name="_Toc402883580"/>
      <w:bookmarkStart w:id="290" w:name="_Toc402883737"/>
      <w:bookmarkStart w:id="291" w:name="_Toc402884636"/>
      <w:bookmarkStart w:id="292" w:name="_Toc402872724"/>
      <w:bookmarkStart w:id="293" w:name="_Toc402883581"/>
      <w:bookmarkStart w:id="294" w:name="_Toc402883738"/>
      <w:bookmarkStart w:id="295" w:name="_Toc402884637"/>
      <w:bookmarkStart w:id="296" w:name="_Toc402872725"/>
      <w:bookmarkStart w:id="297" w:name="_Toc402883582"/>
      <w:bookmarkStart w:id="298" w:name="_Toc402883739"/>
      <w:bookmarkStart w:id="299" w:name="_Toc402884638"/>
      <w:bookmarkStart w:id="300" w:name="_Toc410916891"/>
      <w:bookmarkStart w:id="301" w:name="_Toc398713483"/>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lang w:val="es-ES_tradnl"/>
        </w:rPr>
        <w:t>Consultas a</w:t>
      </w:r>
      <w:r w:rsidR="00AB7281">
        <w:rPr>
          <w:lang w:val="es-ES_tradnl"/>
        </w:rPr>
        <w:t xml:space="preserve"> los </w:t>
      </w:r>
      <w:r w:rsidR="00263316">
        <w:rPr>
          <w:lang w:val="es-ES_tradnl"/>
        </w:rPr>
        <w:t>Centros Especiales de Empleo</w:t>
      </w:r>
      <w:bookmarkEnd w:id="300"/>
    </w:p>
    <w:p w:rsidR="009C781F" w:rsidRPr="009C781F" w:rsidRDefault="009C781F" w:rsidP="009C781F">
      <w:pPr>
        <w:pStyle w:val="Textoindependiente"/>
        <w:rPr>
          <w:lang w:val="es-ES_tradnl"/>
        </w:rPr>
      </w:pPr>
    </w:p>
    <w:p w:rsidR="009C781F" w:rsidRDefault="009C781F" w:rsidP="009C781F">
      <w:pPr>
        <w:pStyle w:val="Textoindependiente"/>
        <w:spacing w:before="0" w:after="0" w:line="360" w:lineRule="auto"/>
        <w:rPr>
          <w:sz w:val="24"/>
          <w:szCs w:val="24"/>
          <w:lang w:val="es-ES_tradnl"/>
        </w:rPr>
      </w:pPr>
      <w:r w:rsidRPr="009C781F">
        <w:rPr>
          <w:sz w:val="24"/>
          <w:szCs w:val="24"/>
          <w:lang w:val="es-ES_tradnl"/>
        </w:rPr>
        <w:t xml:space="preserve">Además del estudio cuantitativo llevado a cabo, </w:t>
      </w:r>
      <w:r>
        <w:rPr>
          <w:sz w:val="24"/>
          <w:szCs w:val="24"/>
          <w:lang w:val="es-ES_tradnl"/>
        </w:rPr>
        <w:t xml:space="preserve">también </w:t>
      </w:r>
      <w:r w:rsidRPr="009C781F">
        <w:rPr>
          <w:sz w:val="24"/>
          <w:szCs w:val="24"/>
          <w:lang w:val="es-ES_tradnl"/>
        </w:rPr>
        <w:t xml:space="preserve">se </w:t>
      </w:r>
      <w:r w:rsidR="001D6F6F">
        <w:rPr>
          <w:sz w:val="24"/>
          <w:szCs w:val="24"/>
          <w:lang w:val="es-ES_tradnl"/>
        </w:rPr>
        <w:t>realizaron</w:t>
      </w:r>
      <w:r w:rsidRPr="009C781F">
        <w:rPr>
          <w:sz w:val="24"/>
          <w:szCs w:val="24"/>
          <w:lang w:val="es-ES_tradnl"/>
        </w:rPr>
        <w:t xml:space="preserve"> una serie de consultas </w:t>
      </w:r>
      <w:r w:rsidR="001D6F6F">
        <w:rPr>
          <w:sz w:val="24"/>
          <w:szCs w:val="24"/>
          <w:lang w:val="es-ES_tradnl"/>
        </w:rPr>
        <w:t xml:space="preserve">o entrevistas a gestores de </w:t>
      </w:r>
      <w:r w:rsidR="00BF1871">
        <w:rPr>
          <w:sz w:val="24"/>
          <w:szCs w:val="24"/>
          <w:lang w:val="es-ES_tradnl"/>
        </w:rPr>
        <w:t>centros especiales de empleo</w:t>
      </w:r>
      <w:r>
        <w:rPr>
          <w:sz w:val="24"/>
          <w:szCs w:val="24"/>
          <w:lang w:val="es-ES_tradnl"/>
        </w:rPr>
        <w:t xml:space="preserve">. El objetivo </w:t>
      </w:r>
      <w:r w:rsidR="001D6F6F">
        <w:rPr>
          <w:sz w:val="24"/>
          <w:szCs w:val="24"/>
          <w:lang w:val="es-ES_tradnl"/>
        </w:rPr>
        <w:t>fue</w:t>
      </w:r>
      <w:r>
        <w:rPr>
          <w:sz w:val="24"/>
          <w:szCs w:val="24"/>
          <w:lang w:val="es-ES_tradnl"/>
        </w:rPr>
        <w:t xml:space="preserve"> entender elementos que puedan ayudar al sector en su conjunto a ser más robusto, </w:t>
      </w:r>
      <w:r w:rsidR="00AB7281">
        <w:rPr>
          <w:sz w:val="24"/>
          <w:szCs w:val="24"/>
          <w:lang w:val="es-ES_tradnl"/>
        </w:rPr>
        <w:t xml:space="preserve">a </w:t>
      </w:r>
      <w:r>
        <w:rPr>
          <w:sz w:val="24"/>
          <w:szCs w:val="24"/>
          <w:lang w:val="es-ES_tradnl"/>
        </w:rPr>
        <w:t>crear más empleo y de mejor calidad y en definitiva</w:t>
      </w:r>
      <w:r w:rsidR="00AB7281">
        <w:rPr>
          <w:sz w:val="24"/>
          <w:szCs w:val="24"/>
          <w:lang w:val="es-ES_tradnl"/>
        </w:rPr>
        <w:t xml:space="preserve"> a</w:t>
      </w:r>
      <w:r>
        <w:rPr>
          <w:sz w:val="24"/>
          <w:szCs w:val="24"/>
          <w:lang w:val="es-ES_tradnl"/>
        </w:rPr>
        <w:t xml:space="preserve"> tener un impacto mayor sobre las personas con discapacidad. </w:t>
      </w:r>
      <w:r w:rsidR="001D6F6F">
        <w:rPr>
          <w:sz w:val="24"/>
          <w:szCs w:val="24"/>
          <w:lang w:val="es-ES_tradnl"/>
        </w:rPr>
        <w:t xml:space="preserve">El propósito era también </w:t>
      </w:r>
      <w:r>
        <w:rPr>
          <w:sz w:val="24"/>
          <w:szCs w:val="24"/>
          <w:lang w:val="es-ES_tradnl"/>
        </w:rPr>
        <w:t>conocer un poco más de cerca la realidad y el día a día de las organizaciones que son el objeto de este estudio.</w:t>
      </w:r>
    </w:p>
    <w:p w:rsidR="009C781F" w:rsidRDefault="009C781F" w:rsidP="009C781F">
      <w:pPr>
        <w:pStyle w:val="Textoindependiente"/>
        <w:spacing w:before="0" w:after="0" w:line="360" w:lineRule="auto"/>
        <w:rPr>
          <w:sz w:val="24"/>
          <w:szCs w:val="24"/>
          <w:lang w:val="es-ES_tradnl"/>
        </w:rPr>
      </w:pPr>
    </w:p>
    <w:p w:rsidR="00767E89" w:rsidRDefault="009C781F" w:rsidP="009C781F">
      <w:pPr>
        <w:pStyle w:val="Textoindependiente"/>
        <w:spacing w:before="0" w:after="0" w:line="360" w:lineRule="auto"/>
        <w:rPr>
          <w:sz w:val="24"/>
          <w:szCs w:val="24"/>
          <w:lang w:val="es-ES_tradnl"/>
        </w:rPr>
      </w:pPr>
      <w:r>
        <w:rPr>
          <w:sz w:val="24"/>
          <w:szCs w:val="24"/>
          <w:lang w:val="es-ES_tradnl"/>
        </w:rPr>
        <w:t xml:space="preserve">En </w:t>
      </w:r>
      <w:r w:rsidR="001D6F6F">
        <w:rPr>
          <w:sz w:val="24"/>
          <w:szCs w:val="24"/>
          <w:lang w:val="es-ES_tradnl"/>
        </w:rPr>
        <w:t>las entrevistas se preguntó</w:t>
      </w:r>
      <w:r>
        <w:rPr>
          <w:sz w:val="24"/>
          <w:szCs w:val="24"/>
          <w:lang w:val="es-ES_tradnl"/>
        </w:rPr>
        <w:t xml:space="preserve"> a los gestores sobre </w:t>
      </w:r>
      <w:r w:rsidR="00767E89">
        <w:rPr>
          <w:sz w:val="24"/>
          <w:szCs w:val="24"/>
          <w:lang w:val="es-ES_tradnl"/>
        </w:rPr>
        <w:t xml:space="preserve">su opinión acerca de </w:t>
      </w:r>
      <w:r>
        <w:rPr>
          <w:sz w:val="24"/>
          <w:szCs w:val="24"/>
          <w:lang w:val="es-ES_tradnl"/>
        </w:rPr>
        <w:t>cuestiones que</w:t>
      </w:r>
      <w:r w:rsidR="00767E89">
        <w:rPr>
          <w:sz w:val="24"/>
          <w:szCs w:val="24"/>
          <w:lang w:val="es-ES_tradnl"/>
        </w:rPr>
        <w:t xml:space="preserve"> afectan al sector en su conjunto: la situación actual de los </w:t>
      </w:r>
      <w:r w:rsidR="00A95742">
        <w:rPr>
          <w:sz w:val="24"/>
          <w:szCs w:val="24"/>
          <w:lang w:val="es-ES_tradnl"/>
        </w:rPr>
        <w:t>CEEs</w:t>
      </w:r>
      <w:r w:rsidR="00767E89">
        <w:rPr>
          <w:sz w:val="24"/>
          <w:szCs w:val="24"/>
          <w:lang w:val="es-ES_tradnl"/>
        </w:rPr>
        <w:t xml:space="preserve"> de Castilla y León, las principales fortalezas y debilidades y oportunidades de avance y mejora. Sus respuestas en muchas ocasiones refuerzan las conclusiones del estudio cuantitativo. En </w:t>
      </w:r>
      <w:r w:rsidR="00AB7281">
        <w:rPr>
          <w:sz w:val="24"/>
          <w:szCs w:val="24"/>
          <w:lang w:val="es-ES_tradnl"/>
        </w:rPr>
        <w:t>otras ocasiones</w:t>
      </w:r>
      <w:r w:rsidR="00767E89">
        <w:rPr>
          <w:sz w:val="24"/>
          <w:szCs w:val="24"/>
          <w:lang w:val="es-ES_tradnl"/>
        </w:rPr>
        <w:t xml:space="preserve"> complementan el análisis, al aportar información sobre cuestiones que son difíciles de cuantificar. </w:t>
      </w:r>
    </w:p>
    <w:p w:rsidR="00767E89" w:rsidRDefault="00767E89" w:rsidP="009C781F">
      <w:pPr>
        <w:pStyle w:val="Textoindependiente"/>
        <w:spacing w:before="0" w:after="0" w:line="360" w:lineRule="auto"/>
        <w:rPr>
          <w:sz w:val="24"/>
          <w:szCs w:val="24"/>
          <w:lang w:val="es-ES_tradnl"/>
        </w:rPr>
      </w:pPr>
    </w:p>
    <w:p w:rsidR="00B951E4" w:rsidRDefault="00767E89" w:rsidP="009C781F">
      <w:pPr>
        <w:pStyle w:val="Textoindependiente"/>
        <w:spacing w:before="0" w:after="0" w:line="360" w:lineRule="auto"/>
        <w:rPr>
          <w:sz w:val="24"/>
          <w:szCs w:val="24"/>
          <w:lang w:val="es-ES_tradnl"/>
        </w:rPr>
      </w:pPr>
      <w:r>
        <w:rPr>
          <w:sz w:val="24"/>
          <w:szCs w:val="24"/>
          <w:lang w:val="es-ES_tradnl"/>
        </w:rPr>
        <w:t xml:space="preserve">Los resultados de las consultas se presentan a continuación: </w:t>
      </w:r>
    </w:p>
    <w:p w:rsidR="00806C22" w:rsidRDefault="00806C22" w:rsidP="009C781F">
      <w:pPr>
        <w:pStyle w:val="Textoindependiente"/>
        <w:spacing w:before="0" w:after="0" w:line="360" w:lineRule="auto"/>
        <w:rPr>
          <w:sz w:val="24"/>
          <w:szCs w:val="24"/>
          <w:lang w:val="es-ES_tradnl"/>
        </w:rPr>
      </w:pPr>
    </w:p>
    <w:p w:rsidR="00B951E4" w:rsidRDefault="00B951E4" w:rsidP="005B2F3D">
      <w:pPr>
        <w:spacing w:line="360" w:lineRule="auto"/>
        <w:jc w:val="both"/>
        <w:rPr>
          <w:b/>
          <w:szCs w:val="22"/>
        </w:rPr>
      </w:pPr>
      <w:r w:rsidRPr="00253262">
        <w:rPr>
          <w:b/>
          <w:szCs w:val="22"/>
          <w:lang w:val="es-ES_tradnl"/>
        </w:rPr>
        <w:t xml:space="preserve">1. </w:t>
      </w:r>
      <w:r w:rsidRPr="00253262">
        <w:rPr>
          <w:b/>
          <w:szCs w:val="22"/>
        </w:rPr>
        <w:t>Indique, del 1 al 10, su grado de acuerdo o desacuerdo con la siguiente afirmación: "Creo que los CEE de Castilla y León son, y continuarán siendo en el futuro previsible, un modelo eficiente y de alto impacto de integración de las personas con discapacidad</w:t>
      </w:r>
      <w:proofErr w:type="gramStart"/>
      <w:r w:rsidRPr="00253262">
        <w:rPr>
          <w:b/>
          <w:szCs w:val="22"/>
        </w:rPr>
        <w:t>?</w:t>
      </w:r>
      <w:proofErr w:type="gramEnd"/>
      <w:r w:rsidRPr="00253262">
        <w:rPr>
          <w:b/>
          <w:szCs w:val="22"/>
        </w:rPr>
        <w:t xml:space="preserve"> 1 Significa completamente en desacuerdo y 10 completamente de acuerdo.</w:t>
      </w:r>
    </w:p>
    <w:p w:rsidR="00AC12AC" w:rsidRDefault="00AC12AC" w:rsidP="005B2F3D">
      <w:pPr>
        <w:spacing w:line="360" w:lineRule="auto"/>
        <w:jc w:val="both"/>
        <w:rPr>
          <w:b/>
          <w:szCs w:val="22"/>
        </w:rPr>
      </w:pPr>
    </w:p>
    <w:p w:rsidR="00AC12AC" w:rsidRPr="00253262" w:rsidRDefault="00AC12AC" w:rsidP="005B2F3D">
      <w:pPr>
        <w:spacing w:line="360" w:lineRule="auto"/>
        <w:jc w:val="both"/>
        <w:rPr>
          <w:b/>
          <w:szCs w:val="22"/>
        </w:rPr>
      </w:pPr>
    </w:p>
    <w:p w:rsidR="00B951E4" w:rsidRPr="00B951E4" w:rsidRDefault="008315B6" w:rsidP="005B2F3D">
      <w:pPr>
        <w:spacing w:line="360" w:lineRule="auto"/>
        <w:ind w:left="-284"/>
        <w:jc w:val="both"/>
        <w:rPr>
          <w:b/>
        </w:rPr>
      </w:pPr>
      <w:r>
        <w:rPr>
          <w:noProof/>
          <w:lang w:eastAsia="es-ES"/>
        </w:rPr>
        <w:drawing>
          <wp:inline distT="0" distB="0" distL="0" distR="0">
            <wp:extent cx="4953000" cy="3314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951E4" w:rsidRPr="004F4483" w:rsidRDefault="00B951E4" w:rsidP="005B2F3D">
      <w:pPr>
        <w:spacing w:line="360" w:lineRule="auto"/>
        <w:jc w:val="both"/>
        <w:rPr>
          <w:sz w:val="20"/>
        </w:rPr>
      </w:pPr>
      <w:r w:rsidRPr="004F4483">
        <w:rPr>
          <w:sz w:val="20"/>
        </w:rPr>
        <w:t>Fuente: Elaboración propia</w:t>
      </w:r>
    </w:p>
    <w:p w:rsidR="00B951E4" w:rsidRPr="004F4483" w:rsidRDefault="00B951E4" w:rsidP="005B2F3D">
      <w:pPr>
        <w:pBdr>
          <w:bottom w:val="single" w:sz="4" w:space="1" w:color="auto"/>
        </w:pBdr>
        <w:spacing w:line="360" w:lineRule="auto"/>
        <w:jc w:val="both"/>
        <w:rPr>
          <w:sz w:val="20"/>
        </w:rPr>
      </w:pPr>
      <w:r w:rsidRPr="004F4483">
        <w:rPr>
          <w:sz w:val="20"/>
        </w:rPr>
        <w:t xml:space="preserve">Como se puede ver en el gráfico </w:t>
      </w:r>
      <w:r>
        <w:rPr>
          <w:sz w:val="20"/>
        </w:rPr>
        <w:t xml:space="preserve">todos los </w:t>
      </w:r>
      <w:r w:rsidR="00A95742">
        <w:rPr>
          <w:sz w:val="20"/>
        </w:rPr>
        <w:t>CEEs</w:t>
      </w:r>
      <w:r>
        <w:rPr>
          <w:sz w:val="20"/>
        </w:rPr>
        <w:t xml:space="preserve"> consultados muestran un elevado grado de </w:t>
      </w:r>
      <w:r w:rsidR="0074176D">
        <w:rPr>
          <w:sz w:val="20"/>
        </w:rPr>
        <w:t>acuerdo con la afirmación (un 50</w:t>
      </w:r>
      <w:r>
        <w:rPr>
          <w:sz w:val="20"/>
        </w:rPr>
        <w:t xml:space="preserve">% de ellos están casi totalmente de acuerdo), reflejando que la mayoría de los </w:t>
      </w:r>
      <w:r w:rsidR="00A95742">
        <w:rPr>
          <w:sz w:val="20"/>
        </w:rPr>
        <w:t>CEEs</w:t>
      </w:r>
      <w:r>
        <w:rPr>
          <w:sz w:val="20"/>
        </w:rPr>
        <w:t xml:space="preserve"> consultados creen </w:t>
      </w:r>
      <w:r w:rsidR="00CD6038">
        <w:rPr>
          <w:sz w:val="20"/>
        </w:rPr>
        <w:t xml:space="preserve">que los CEE de Castilla y León </w:t>
      </w:r>
      <w:r>
        <w:rPr>
          <w:sz w:val="20"/>
        </w:rPr>
        <w:t>son y continuarán siendo en el futuro previsible un modelo eficiente y de alto impacto de integración de las personas con discapacidad.</w:t>
      </w:r>
    </w:p>
    <w:p w:rsidR="00B951E4" w:rsidRPr="004F4483" w:rsidRDefault="00B951E4" w:rsidP="005B2F3D">
      <w:pPr>
        <w:spacing w:line="360" w:lineRule="auto"/>
        <w:jc w:val="both"/>
      </w:pPr>
    </w:p>
    <w:p w:rsidR="00253262" w:rsidRDefault="00253262" w:rsidP="005B2F3D">
      <w:pPr>
        <w:spacing w:line="360" w:lineRule="auto"/>
        <w:jc w:val="both"/>
        <w:rPr>
          <w:b/>
        </w:rPr>
      </w:pPr>
      <w:r w:rsidRPr="00253262">
        <w:rPr>
          <w:b/>
          <w:lang w:val="es-ES_tradnl"/>
        </w:rPr>
        <w:t>2. ¿</w:t>
      </w:r>
      <w:r w:rsidRPr="00253262">
        <w:rPr>
          <w:b/>
        </w:rPr>
        <w:t xml:space="preserve">Cuál es su percepción acerca del momento actual de los </w:t>
      </w:r>
      <w:r w:rsidR="00263316">
        <w:rPr>
          <w:b/>
        </w:rPr>
        <w:t>Centros Especiales de Empleo</w:t>
      </w:r>
      <w:r w:rsidRPr="00253262">
        <w:rPr>
          <w:b/>
        </w:rPr>
        <w:t xml:space="preserve"> de Castilla y León y de su futuro?</w:t>
      </w:r>
    </w:p>
    <w:p w:rsidR="00253262" w:rsidRPr="00C0580B" w:rsidRDefault="00253262" w:rsidP="005B2F3D">
      <w:pPr>
        <w:spacing w:line="360" w:lineRule="auto"/>
        <w:jc w:val="both"/>
        <w:rPr>
          <w:b/>
          <w:u w:val="single"/>
          <w:lang w:val="es-ES_tradnl"/>
        </w:rPr>
      </w:pPr>
    </w:p>
    <w:p w:rsidR="00253262" w:rsidRPr="00253262" w:rsidRDefault="00253262" w:rsidP="005B2F3D">
      <w:pPr>
        <w:spacing w:line="360" w:lineRule="auto"/>
        <w:jc w:val="both"/>
        <w:rPr>
          <w:sz w:val="24"/>
          <w:szCs w:val="24"/>
          <w:lang w:val="es-ES_tradnl"/>
        </w:rPr>
      </w:pPr>
      <w:r w:rsidRPr="00253262">
        <w:rPr>
          <w:sz w:val="24"/>
          <w:szCs w:val="24"/>
          <w:lang w:val="es-ES_tradnl"/>
        </w:rPr>
        <w:t xml:space="preserve">La conclusión principal de </w:t>
      </w:r>
      <w:r w:rsidR="00CD6038">
        <w:rPr>
          <w:sz w:val="24"/>
          <w:szCs w:val="24"/>
          <w:lang w:val="es-ES_tradnl"/>
        </w:rPr>
        <w:t>la consulta</w:t>
      </w:r>
      <w:r w:rsidRPr="00253262">
        <w:rPr>
          <w:sz w:val="24"/>
          <w:szCs w:val="24"/>
          <w:lang w:val="es-ES_tradnl"/>
        </w:rPr>
        <w:t xml:space="preserve"> es que </w:t>
      </w:r>
      <w:r w:rsidR="00CD6038">
        <w:rPr>
          <w:sz w:val="24"/>
          <w:szCs w:val="24"/>
          <w:lang w:val="es-ES_tradnl"/>
        </w:rPr>
        <w:t xml:space="preserve">los centros </w:t>
      </w:r>
      <w:r w:rsidRPr="00253262">
        <w:rPr>
          <w:sz w:val="24"/>
          <w:szCs w:val="24"/>
          <w:lang w:val="es-ES_tradnl"/>
        </w:rPr>
        <w:t>están atravesando un momento de incertidumbre.</w:t>
      </w:r>
      <w:r w:rsidR="00CD6038">
        <w:rPr>
          <w:sz w:val="24"/>
          <w:szCs w:val="24"/>
          <w:lang w:val="es-ES_tradnl"/>
        </w:rPr>
        <w:t xml:space="preserve"> </w:t>
      </w:r>
      <w:r w:rsidRPr="00253262">
        <w:rPr>
          <w:sz w:val="24"/>
          <w:szCs w:val="24"/>
          <w:lang w:val="es-ES_tradnl"/>
        </w:rPr>
        <w:t xml:space="preserve">La crisis económica está afectando profundamente al sector. Las líneas de subvención han disminuido significativamente. Por estas razones, la </w:t>
      </w:r>
      <w:r w:rsidR="00CD6038">
        <w:rPr>
          <w:sz w:val="24"/>
          <w:szCs w:val="24"/>
          <w:lang w:val="es-ES_tradnl"/>
        </w:rPr>
        <w:t xml:space="preserve">confianza en el futuro de los </w:t>
      </w:r>
      <w:r w:rsidR="00BF1871">
        <w:rPr>
          <w:sz w:val="24"/>
          <w:szCs w:val="24"/>
          <w:lang w:val="es-ES_tradnl"/>
        </w:rPr>
        <w:t xml:space="preserve">centros especiales de empleo </w:t>
      </w:r>
      <w:r w:rsidRPr="00253262">
        <w:rPr>
          <w:sz w:val="24"/>
          <w:szCs w:val="24"/>
          <w:lang w:val="es-ES_tradnl"/>
        </w:rPr>
        <w:t xml:space="preserve">se está resintiendo </w:t>
      </w:r>
      <w:r w:rsidR="00AB7281">
        <w:rPr>
          <w:sz w:val="24"/>
          <w:szCs w:val="24"/>
          <w:lang w:val="es-ES_tradnl"/>
        </w:rPr>
        <w:t>aunque,</w:t>
      </w:r>
      <w:r w:rsidRPr="00253262">
        <w:rPr>
          <w:sz w:val="24"/>
          <w:szCs w:val="24"/>
          <w:lang w:val="es-ES_tradnl"/>
        </w:rPr>
        <w:t xml:space="preserve"> </w:t>
      </w:r>
      <w:r w:rsidR="008760B8" w:rsidRPr="00253262">
        <w:rPr>
          <w:sz w:val="24"/>
          <w:szCs w:val="24"/>
          <w:lang w:val="es-ES_tradnl"/>
        </w:rPr>
        <w:t>aun</w:t>
      </w:r>
      <w:r w:rsidRPr="00253262">
        <w:rPr>
          <w:sz w:val="24"/>
          <w:szCs w:val="24"/>
          <w:lang w:val="es-ES_tradnl"/>
        </w:rPr>
        <w:t xml:space="preserve"> así, los </w:t>
      </w:r>
      <w:r w:rsidR="00A95742">
        <w:rPr>
          <w:sz w:val="24"/>
          <w:szCs w:val="24"/>
          <w:lang w:val="es-ES_tradnl"/>
        </w:rPr>
        <w:t>CEEs</w:t>
      </w:r>
      <w:r w:rsidRPr="00253262">
        <w:rPr>
          <w:sz w:val="24"/>
          <w:szCs w:val="24"/>
          <w:lang w:val="es-ES_tradnl"/>
        </w:rPr>
        <w:t xml:space="preserve"> siguen apostando </w:t>
      </w:r>
      <w:r w:rsidR="00BF1871">
        <w:rPr>
          <w:sz w:val="24"/>
          <w:szCs w:val="24"/>
          <w:lang w:val="es-ES_tradnl"/>
        </w:rPr>
        <w:t xml:space="preserve">por el modelo </w:t>
      </w:r>
      <w:r w:rsidRPr="00253262">
        <w:rPr>
          <w:sz w:val="24"/>
          <w:szCs w:val="24"/>
          <w:lang w:val="es-ES_tradnl"/>
        </w:rPr>
        <w:t xml:space="preserve">porque consideran que es la mejor forma de que las personas con discapacidad tengan un desarrollo profesional. </w:t>
      </w:r>
    </w:p>
    <w:p w:rsidR="00253262" w:rsidRPr="00253262" w:rsidRDefault="00253262" w:rsidP="005B2F3D">
      <w:pPr>
        <w:spacing w:line="360" w:lineRule="auto"/>
        <w:jc w:val="both"/>
        <w:rPr>
          <w:sz w:val="24"/>
          <w:szCs w:val="24"/>
          <w:lang w:val="es-ES_tradnl"/>
        </w:rPr>
      </w:pPr>
    </w:p>
    <w:p w:rsidR="00253262" w:rsidRPr="00253262" w:rsidRDefault="00253262" w:rsidP="005B2F3D">
      <w:pPr>
        <w:spacing w:line="360" w:lineRule="auto"/>
        <w:jc w:val="both"/>
        <w:rPr>
          <w:sz w:val="24"/>
          <w:szCs w:val="24"/>
          <w:lang w:val="es-ES_tradnl"/>
        </w:rPr>
      </w:pPr>
      <w:r w:rsidRPr="00253262">
        <w:rPr>
          <w:sz w:val="24"/>
          <w:szCs w:val="24"/>
          <w:lang w:val="es-ES_tradnl"/>
        </w:rPr>
        <w:t xml:space="preserve">No todos los </w:t>
      </w:r>
      <w:r w:rsidR="00BF1871">
        <w:rPr>
          <w:sz w:val="24"/>
          <w:szCs w:val="24"/>
          <w:lang w:val="es-ES_tradnl"/>
        </w:rPr>
        <w:t>centros valoran de la misma manera el impacto de la crisis sobre el modelo</w:t>
      </w:r>
      <w:r w:rsidRPr="00253262">
        <w:rPr>
          <w:sz w:val="24"/>
          <w:szCs w:val="24"/>
          <w:lang w:val="es-ES_tradnl"/>
        </w:rPr>
        <w:t xml:space="preserve">. En general, podemos decir que los </w:t>
      </w:r>
      <w:r w:rsidR="0001621C">
        <w:rPr>
          <w:sz w:val="24"/>
          <w:szCs w:val="24"/>
          <w:lang w:val="es-ES_tradnl"/>
        </w:rPr>
        <w:t xml:space="preserve">centros </w:t>
      </w:r>
      <w:r w:rsidRPr="00253262">
        <w:rPr>
          <w:sz w:val="24"/>
          <w:szCs w:val="24"/>
          <w:lang w:val="es-ES_tradnl"/>
        </w:rPr>
        <w:t xml:space="preserve">consultados están reaccionando de dos maneras. </w:t>
      </w:r>
    </w:p>
    <w:p w:rsidR="00253262" w:rsidRPr="00253262" w:rsidRDefault="00253262" w:rsidP="005B2F3D">
      <w:pPr>
        <w:spacing w:line="360" w:lineRule="auto"/>
        <w:jc w:val="both"/>
        <w:rPr>
          <w:sz w:val="24"/>
          <w:szCs w:val="24"/>
          <w:lang w:val="es-ES_tradnl"/>
        </w:rPr>
      </w:pPr>
    </w:p>
    <w:p w:rsidR="00253262" w:rsidRPr="00253262" w:rsidRDefault="00253262" w:rsidP="005B2F3D">
      <w:pPr>
        <w:spacing w:line="360" w:lineRule="auto"/>
        <w:jc w:val="both"/>
        <w:rPr>
          <w:sz w:val="24"/>
          <w:szCs w:val="24"/>
          <w:lang w:val="es-ES_tradnl"/>
        </w:rPr>
      </w:pPr>
      <w:r w:rsidRPr="00253262">
        <w:rPr>
          <w:sz w:val="24"/>
          <w:szCs w:val="24"/>
          <w:lang w:val="es-ES_tradnl"/>
        </w:rPr>
        <w:t>Para algunos, la crisis está poniendo de manifiesto las debilidades intrínsecas del modelo pre-crisis: un modelo que</w:t>
      </w:r>
      <w:r w:rsidR="00CD6038">
        <w:rPr>
          <w:sz w:val="24"/>
          <w:szCs w:val="24"/>
          <w:lang w:val="es-ES_tradnl"/>
        </w:rPr>
        <w:t xml:space="preserve">, a su modo de ver, </w:t>
      </w:r>
      <w:r w:rsidRPr="00253262">
        <w:rPr>
          <w:sz w:val="24"/>
          <w:szCs w:val="24"/>
          <w:lang w:val="es-ES_tradnl"/>
        </w:rPr>
        <w:t>dependía demasiado de las ayudas externas y subvenciones y que se centraba principalmente en la subcontrat</w:t>
      </w:r>
      <w:r w:rsidR="00AB7281">
        <w:rPr>
          <w:sz w:val="24"/>
          <w:szCs w:val="24"/>
          <w:lang w:val="es-ES_tradnl"/>
        </w:rPr>
        <w:t>ación, en muchas ocasiones</w:t>
      </w:r>
      <w:r w:rsidRPr="00253262">
        <w:rPr>
          <w:sz w:val="24"/>
          <w:szCs w:val="24"/>
          <w:lang w:val="es-ES_tradnl"/>
        </w:rPr>
        <w:t xml:space="preserve"> subcontratación industrial. Al haber visto durante la crisis que el riesgo de perder las subvenciones es elevado, algunos de los </w:t>
      </w:r>
      <w:r w:rsidR="00BF1871">
        <w:rPr>
          <w:sz w:val="24"/>
          <w:szCs w:val="24"/>
          <w:lang w:val="es-ES_tradnl"/>
        </w:rPr>
        <w:t>centros</w:t>
      </w:r>
      <w:r w:rsidRPr="00253262">
        <w:rPr>
          <w:sz w:val="24"/>
          <w:szCs w:val="24"/>
          <w:lang w:val="es-ES_tradnl"/>
        </w:rPr>
        <w:t xml:space="preserve"> han llegado a la conclusión de que tienen que </w:t>
      </w:r>
      <w:r w:rsidR="0001621C">
        <w:rPr>
          <w:sz w:val="24"/>
          <w:szCs w:val="24"/>
          <w:lang w:val="es-ES_tradnl"/>
        </w:rPr>
        <w:t xml:space="preserve">apostar por la sostenibilidad; por </w:t>
      </w:r>
      <w:r w:rsidRPr="00253262">
        <w:rPr>
          <w:sz w:val="24"/>
          <w:szCs w:val="24"/>
          <w:lang w:val="es-ES_tradnl"/>
        </w:rPr>
        <w:t xml:space="preserve">ser empresas </w:t>
      </w:r>
      <w:r w:rsidR="00B32059">
        <w:rPr>
          <w:sz w:val="24"/>
          <w:szCs w:val="24"/>
          <w:lang w:val="es-ES_tradnl"/>
        </w:rPr>
        <w:t>convencionales</w:t>
      </w:r>
      <w:r w:rsidR="0001621C">
        <w:rPr>
          <w:sz w:val="24"/>
          <w:szCs w:val="24"/>
          <w:lang w:val="es-ES_tradnl"/>
        </w:rPr>
        <w:t>, rentables y sostenibles</w:t>
      </w:r>
      <w:r w:rsidRPr="00253262">
        <w:rPr>
          <w:sz w:val="24"/>
          <w:szCs w:val="24"/>
          <w:lang w:val="es-ES_tradnl"/>
        </w:rPr>
        <w:t xml:space="preserve"> y que </w:t>
      </w:r>
      <w:r w:rsidR="00AB7281">
        <w:rPr>
          <w:sz w:val="24"/>
          <w:szCs w:val="24"/>
          <w:lang w:val="es-ES_tradnl"/>
        </w:rPr>
        <w:t>tienen que utilizar</w:t>
      </w:r>
      <w:r w:rsidRPr="00253262">
        <w:rPr>
          <w:sz w:val="24"/>
          <w:szCs w:val="24"/>
          <w:lang w:val="es-ES_tradnl"/>
        </w:rPr>
        <w:t xml:space="preserve"> </w:t>
      </w:r>
      <w:r w:rsidR="0001621C">
        <w:rPr>
          <w:sz w:val="24"/>
          <w:szCs w:val="24"/>
          <w:lang w:val="es-ES_tradnl"/>
        </w:rPr>
        <w:t>el apoyo público para ofrecer las mejores oportunidades a</w:t>
      </w:r>
      <w:r w:rsidRPr="00253262">
        <w:rPr>
          <w:sz w:val="24"/>
          <w:szCs w:val="24"/>
          <w:lang w:val="es-ES_tradnl"/>
        </w:rPr>
        <w:t xml:space="preserve"> las personas con discapacidad. Por ello </w:t>
      </w:r>
      <w:r w:rsidR="00D36F3C">
        <w:rPr>
          <w:sz w:val="24"/>
          <w:szCs w:val="24"/>
          <w:lang w:val="es-ES_tradnl"/>
        </w:rPr>
        <w:t xml:space="preserve">se ha llevado a cabo un proceso de reflexión y </w:t>
      </w:r>
      <w:r w:rsidR="00AB7281">
        <w:rPr>
          <w:sz w:val="24"/>
          <w:szCs w:val="24"/>
          <w:lang w:val="es-ES_tradnl"/>
        </w:rPr>
        <w:t>reorga</w:t>
      </w:r>
      <w:r w:rsidR="00581504">
        <w:rPr>
          <w:sz w:val="24"/>
          <w:szCs w:val="24"/>
          <w:lang w:val="es-ES_tradnl"/>
        </w:rPr>
        <w:t xml:space="preserve">nización, con el objetivo de lograr </w:t>
      </w:r>
      <w:r w:rsidR="00D36F3C">
        <w:rPr>
          <w:sz w:val="24"/>
          <w:szCs w:val="24"/>
          <w:lang w:val="es-ES_tradnl"/>
        </w:rPr>
        <w:t>una reconversión hacia</w:t>
      </w:r>
      <w:r w:rsidR="007E52D8" w:rsidRPr="00B32059">
        <w:rPr>
          <w:sz w:val="24"/>
          <w:szCs w:val="24"/>
          <w:lang w:val="es-ES_tradnl"/>
        </w:rPr>
        <w:t xml:space="preserve"> modelos más competitivos y que aprovechen los avances tecnológicos de una forma más eficaz</w:t>
      </w:r>
      <w:r w:rsidR="00581504">
        <w:rPr>
          <w:sz w:val="24"/>
          <w:szCs w:val="24"/>
          <w:lang w:val="es-ES_tradnl"/>
        </w:rPr>
        <w:t xml:space="preserve"> en beneficio de las personas con discapacidad</w:t>
      </w:r>
      <w:r w:rsidR="007E52D8" w:rsidRPr="00B32059">
        <w:rPr>
          <w:sz w:val="24"/>
          <w:szCs w:val="24"/>
          <w:lang w:val="es-ES_tradnl"/>
        </w:rPr>
        <w:t>.</w:t>
      </w:r>
      <w:r w:rsidRPr="00253262">
        <w:rPr>
          <w:sz w:val="24"/>
          <w:szCs w:val="24"/>
          <w:lang w:val="es-ES_tradnl"/>
        </w:rPr>
        <w:t xml:space="preserve"> </w:t>
      </w:r>
    </w:p>
    <w:p w:rsidR="00253262" w:rsidRPr="00253262" w:rsidRDefault="00253262" w:rsidP="005B2F3D">
      <w:pPr>
        <w:spacing w:line="360" w:lineRule="auto"/>
        <w:jc w:val="both"/>
        <w:rPr>
          <w:sz w:val="24"/>
          <w:szCs w:val="24"/>
          <w:lang w:val="es-ES_tradnl"/>
        </w:rPr>
      </w:pPr>
    </w:p>
    <w:p w:rsidR="00253262" w:rsidRPr="00253262" w:rsidRDefault="00253262" w:rsidP="005B2F3D">
      <w:pPr>
        <w:spacing w:line="360" w:lineRule="auto"/>
        <w:jc w:val="both"/>
        <w:rPr>
          <w:sz w:val="24"/>
          <w:szCs w:val="24"/>
          <w:lang w:val="es-ES_tradnl"/>
        </w:rPr>
      </w:pPr>
      <w:r w:rsidRPr="00253262">
        <w:rPr>
          <w:sz w:val="24"/>
          <w:szCs w:val="24"/>
          <w:lang w:val="es-ES_tradnl"/>
        </w:rPr>
        <w:t xml:space="preserve">Otros </w:t>
      </w:r>
      <w:r w:rsidR="00BF1871">
        <w:rPr>
          <w:sz w:val="24"/>
          <w:szCs w:val="24"/>
          <w:lang w:val="es-ES_tradnl"/>
        </w:rPr>
        <w:t>centros</w:t>
      </w:r>
      <w:r w:rsidRPr="00253262">
        <w:rPr>
          <w:sz w:val="24"/>
          <w:szCs w:val="24"/>
          <w:lang w:val="es-ES_tradnl"/>
        </w:rPr>
        <w:t xml:space="preserve">, sin embargo, </w:t>
      </w:r>
      <w:r w:rsidR="00BE5DD1">
        <w:rPr>
          <w:sz w:val="24"/>
          <w:szCs w:val="24"/>
          <w:lang w:val="es-ES_tradnl"/>
        </w:rPr>
        <w:t>entienden que</w:t>
      </w:r>
      <w:r w:rsidRPr="00253262">
        <w:rPr>
          <w:sz w:val="24"/>
          <w:szCs w:val="24"/>
          <w:lang w:val="es-ES_tradnl"/>
        </w:rPr>
        <w:t xml:space="preserve"> llevar a cabo una transformación de esas características y competir con empresas ordinarias</w:t>
      </w:r>
      <w:r w:rsidR="00BE5DD1">
        <w:rPr>
          <w:sz w:val="24"/>
          <w:szCs w:val="24"/>
          <w:lang w:val="es-ES_tradnl"/>
        </w:rPr>
        <w:t xml:space="preserve"> entraña dificultades casi insuperables</w:t>
      </w:r>
      <w:r w:rsidRPr="00253262">
        <w:rPr>
          <w:sz w:val="24"/>
          <w:szCs w:val="24"/>
          <w:lang w:val="es-ES_tradnl"/>
        </w:rPr>
        <w:t xml:space="preserve">. Para ellos, la crisis ha puesto de manifiesto, más que nunca, el insustituible papel que </w:t>
      </w:r>
      <w:r w:rsidR="00BE5DD1">
        <w:rPr>
          <w:sz w:val="24"/>
          <w:szCs w:val="24"/>
          <w:lang w:val="es-ES_tradnl"/>
        </w:rPr>
        <w:t xml:space="preserve">desempeñan </w:t>
      </w:r>
      <w:r w:rsidRPr="00253262">
        <w:rPr>
          <w:sz w:val="24"/>
          <w:szCs w:val="24"/>
          <w:lang w:val="es-ES_tradnl"/>
        </w:rPr>
        <w:t xml:space="preserve">las ayudas externas en la supervivencia del sector. El enfoque de estos </w:t>
      </w:r>
      <w:r w:rsidR="00581504">
        <w:rPr>
          <w:sz w:val="24"/>
          <w:szCs w:val="24"/>
          <w:lang w:val="es-ES_tradnl"/>
        </w:rPr>
        <w:t>centros pasa por</w:t>
      </w:r>
      <w:r w:rsidRPr="00253262">
        <w:rPr>
          <w:sz w:val="24"/>
          <w:szCs w:val="24"/>
          <w:lang w:val="es-ES_tradnl"/>
        </w:rPr>
        <w:t xml:space="preserve"> intentar aumentar </w:t>
      </w:r>
      <w:r w:rsidR="00B32059">
        <w:rPr>
          <w:sz w:val="24"/>
          <w:szCs w:val="24"/>
          <w:lang w:val="es-ES_tradnl"/>
        </w:rPr>
        <w:t>el apoyo</w:t>
      </w:r>
      <w:r w:rsidR="007E098D">
        <w:rPr>
          <w:sz w:val="24"/>
          <w:szCs w:val="24"/>
          <w:lang w:val="es-ES_tradnl"/>
        </w:rPr>
        <w:t xml:space="preserve"> que reciben de las Administraciones</w:t>
      </w:r>
      <w:r w:rsidRPr="00253262">
        <w:rPr>
          <w:sz w:val="24"/>
          <w:szCs w:val="24"/>
          <w:lang w:val="es-ES_tradnl"/>
        </w:rPr>
        <w:t>. Consideran que el problema principal actual es la financiación</w:t>
      </w:r>
      <w:r w:rsidR="007E098D">
        <w:rPr>
          <w:sz w:val="24"/>
          <w:szCs w:val="24"/>
          <w:lang w:val="es-ES_tradnl"/>
        </w:rPr>
        <w:t xml:space="preserve">. Sin </w:t>
      </w:r>
      <w:r w:rsidR="00BE5DD1">
        <w:rPr>
          <w:sz w:val="24"/>
          <w:szCs w:val="24"/>
          <w:lang w:val="es-ES_tradnl"/>
        </w:rPr>
        <w:t>el apoyo público</w:t>
      </w:r>
      <w:r w:rsidR="007E098D">
        <w:rPr>
          <w:sz w:val="24"/>
          <w:szCs w:val="24"/>
          <w:lang w:val="es-ES_tradnl"/>
        </w:rPr>
        <w:t xml:space="preserve">, señalan, </w:t>
      </w:r>
      <w:r w:rsidRPr="00253262">
        <w:rPr>
          <w:sz w:val="24"/>
          <w:szCs w:val="24"/>
          <w:lang w:val="es-ES_tradnl"/>
        </w:rPr>
        <w:t>no pueden sobrevivir.</w:t>
      </w:r>
    </w:p>
    <w:p w:rsidR="00253262" w:rsidRPr="00253262" w:rsidRDefault="00253262" w:rsidP="005B2F3D">
      <w:pPr>
        <w:spacing w:line="360" w:lineRule="auto"/>
        <w:jc w:val="both"/>
        <w:rPr>
          <w:sz w:val="24"/>
          <w:szCs w:val="24"/>
          <w:lang w:val="es-ES_tradnl"/>
        </w:rPr>
      </w:pPr>
    </w:p>
    <w:p w:rsidR="00253262" w:rsidRDefault="00253262" w:rsidP="005B2F3D">
      <w:pPr>
        <w:spacing w:line="360" w:lineRule="auto"/>
        <w:jc w:val="both"/>
        <w:rPr>
          <w:sz w:val="24"/>
          <w:szCs w:val="24"/>
          <w:lang w:val="es-ES_tradnl"/>
        </w:rPr>
      </w:pPr>
      <w:r w:rsidRPr="00253262">
        <w:rPr>
          <w:sz w:val="24"/>
          <w:szCs w:val="24"/>
          <w:lang w:val="es-ES_tradnl"/>
        </w:rPr>
        <w:t xml:space="preserve">Los </w:t>
      </w:r>
      <w:r w:rsidR="00BE5DD1">
        <w:rPr>
          <w:sz w:val="24"/>
          <w:szCs w:val="24"/>
          <w:lang w:val="es-ES_tradnl"/>
        </w:rPr>
        <w:t>centros especiales de empleo</w:t>
      </w:r>
      <w:r w:rsidRPr="00253262">
        <w:rPr>
          <w:sz w:val="24"/>
          <w:szCs w:val="24"/>
          <w:lang w:val="es-ES_tradnl"/>
        </w:rPr>
        <w:t xml:space="preserve"> que estaban </w:t>
      </w:r>
      <w:r w:rsidR="00581504">
        <w:rPr>
          <w:sz w:val="24"/>
          <w:szCs w:val="24"/>
          <w:lang w:val="es-ES_tradnl"/>
        </w:rPr>
        <w:t>sobre</w:t>
      </w:r>
      <w:r w:rsidRPr="00253262">
        <w:rPr>
          <w:sz w:val="24"/>
          <w:szCs w:val="24"/>
          <w:lang w:val="es-ES_tradnl"/>
        </w:rPr>
        <w:t xml:space="preserve">dimensionados o que habían </w:t>
      </w:r>
      <w:r w:rsidR="00BE5DD1">
        <w:rPr>
          <w:sz w:val="24"/>
          <w:szCs w:val="24"/>
          <w:lang w:val="es-ES_tradnl"/>
        </w:rPr>
        <w:t>aumentado</w:t>
      </w:r>
      <w:r w:rsidRPr="00253262">
        <w:rPr>
          <w:sz w:val="24"/>
          <w:szCs w:val="24"/>
          <w:lang w:val="es-ES_tradnl"/>
        </w:rPr>
        <w:t xml:space="preserve"> plantilla antes de 2008 están atravesando especiales dificultades en estos momentos. </w:t>
      </w:r>
    </w:p>
    <w:p w:rsidR="00BE5DD1" w:rsidRPr="00253262" w:rsidRDefault="00BE5DD1" w:rsidP="005B2F3D">
      <w:pPr>
        <w:spacing w:line="360" w:lineRule="auto"/>
        <w:jc w:val="both"/>
        <w:rPr>
          <w:sz w:val="24"/>
          <w:szCs w:val="24"/>
          <w:lang w:val="es-ES_tradnl"/>
        </w:rPr>
      </w:pPr>
    </w:p>
    <w:p w:rsidR="00EC57F6" w:rsidRPr="00253262" w:rsidRDefault="00253262" w:rsidP="005B2F3D">
      <w:pPr>
        <w:spacing w:line="360" w:lineRule="auto"/>
        <w:jc w:val="both"/>
        <w:rPr>
          <w:sz w:val="24"/>
          <w:szCs w:val="24"/>
          <w:lang w:val="es-ES_tradnl"/>
        </w:rPr>
      </w:pPr>
      <w:r w:rsidRPr="00253262">
        <w:rPr>
          <w:sz w:val="24"/>
          <w:szCs w:val="24"/>
          <w:lang w:val="es-ES_tradnl"/>
        </w:rPr>
        <w:t xml:space="preserve">Dejando a un lado la crisis, los </w:t>
      </w:r>
      <w:r w:rsidR="00BE5DD1">
        <w:rPr>
          <w:sz w:val="24"/>
          <w:szCs w:val="24"/>
          <w:lang w:val="es-ES_tradnl"/>
        </w:rPr>
        <w:t>centros especiales de empleo</w:t>
      </w:r>
      <w:r w:rsidRPr="00253262">
        <w:rPr>
          <w:sz w:val="24"/>
          <w:szCs w:val="24"/>
          <w:lang w:val="es-ES_tradnl"/>
        </w:rPr>
        <w:t xml:space="preserve"> consultados parecen coincidir en que, aunque se enfrenten a</w:t>
      </w:r>
      <w:r w:rsidR="00BF1871">
        <w:rPr>
          <w:sz w:val="24"/>
          <w:szCs w:val="24"/>
          <w:lang w:val="es-ES_tradnl"/>
        </w:rPr>
        <w:t xml:space="preserve"> numerosos</w:t>
      </w:r>
      <w:r w:rsidRPr="00253262">
        <w:rPr>
          <w:sz w:val="24"/>
          <w:szCs w:val="24"/>
          <w:lang w:val="es-ES_tradnl"/>
        </w:rPr>
        <w:t xml:space="preserve"> retos, existe suficiente demanda</w:t>
      </w:r>
      <w:r w:rsidR="00BE5DD1">
        <w:rPr>
          <w:sz w:val="24"/>
          <w:szCs w:val="24"/>
          <w:lang w:val="es-ES_tradnl"/>
        </w:rPr>
        <w:t xml:space="preserve"> y un espacio en el mercado que están especialmente dotados para ocupar</w:t>
      </w:r>
      <w:r w:rsidRPr="00253262">
        <w:rPr>
          <w:sz w:val="24"/>
          <w:szCs w:val="24"/>
          <w:lang w:val="es-ES_tradnl"/>
        </w:rPr>
        <w:t>. También coinciden en que para que el sector salga adelante es importante que se trabaje para integrar a las personas con discapacidad también en la empresa ordina</w:t>
      </w:r>
      <w:r w:rsidR="00832241">
        <w:rPr>
          <w:sz w:val="24"/>
          <w:szCs w:val="24"/>
          <w:lang w:val="es-ES_tradnl"/>
        </w:rPr>
        <w:t>ria</w:t>
      </w:r>
      <w:r w:rsidR="007E52D8">
        <w:rPr>
          <w:sz w:val="24"/>
          <w:szCs w:val="24"/>
          <w:lang w:val="es-ES_tradnl"/>
        </w:rPr>
        <w:t xml:space="preserve">, </w:t>
      </w:r>
      <w:r w:rsidRPr="00253262">
        <w:rPr>
          <w:sz w:val="24"/>
          <w:szCs w:val="24"/>
          <w:lang w:val="es-ES_tradnl"/>
        </w:rPr>
        <w:t>que la sociedad se sensibi</w:t>
      </w:r>
      <w:r w:rsidR="00832241">
        <w:rPr>
          <w:sz w:val="24"/>
          <w:szCs w:val="24"/>
          <w:lang w:val="es-ES_tradnl"/>
        </w:rPr>
        <w:t>lice con el colectivo de las personas con discapacidad, y que las Administraciones Públicas</w:t>
      </w:r>
      <w:r w:rsidRPr="00253262">
        <w:rPr>
          <w:sz w:val="24"/>
          <w:szCs w:val="24"/>
          <w:lang w:val="es-ES_tradnl"/>
        </w:rPr>
        <w:t xml:space="preserve"> sigan </w:t>
      </w:r>
      <w:r w:rsidR="00581504">
        <w:rPr>
          <w:sz w:val="24"/>
          <w:szCs w:val="24"/>
          <w:lang w:val="es-ES_tradnl"/>
        </w:rPr>
        <w:t xml:space="preserve">apostando por los </w:t>
      </w:r>
      <w:r w:rsidR="00BE5DD1">
        <w:rPr>
          <w:sz w:val="24"/>
          <w:szCs w:val="24"/>
          <w:lang w:val="es-ES_tradnl"/>
        </w:rPr>
        <w:t>centros especiales de empleo, también en la contratación pública</w:t>
      </w:r>
      <w:r w:rsidRPr="00253262">
        <w:rPr>
          <w:sz w:val="24"/>
          <w:szCs w:val="24"/>
          <w:lang w:val="es-ES_tradnl"/>
        </w:rPr>
        <w:t xml:space="preserve">. Sin embargo, algunos </w:t>
      </w:r>
      <w:r w:rsidR="00581504">
        <w:rPr>
          <w:sz w:val="24"/>
          <w:szCs w:val="24"/>
          <w:lang w:val="es-ES_tradnl"/>
        </w:rPr>
        <w:t>centros</w:t>
      </w:r>
      <w:r w:rsidRPr="00253262">
        <w:rPr>
          <w:sz w:val="24"/>
          <w:szCs w:val="24"/>
          <w:lang w:val="es-ES_tradnl"/>
        </w:rPr>
        <w:t xml:space="preserve"> </w:t>
      </w:r>
      <w:r w:rsidR="00581504">
        <w:rPr>
          <w:sz w:val="24"/>
          <w:szCs w:val="24"/>
          <w:lang w:val="es-ES_tradnl"/>
        </w:rPr>
        <w:t>afirman</w:t>
      </w:r>
      <w:r w:rsidRPr="00253262">
        <w:rPr>
          <w:sz w:val="24"/>
          <w:szCs w:val="24"/>
          <w:lang w:val="es-ES_tradnl"/>
        </w:rPr>
        <w:t xml:space="preserve"> que el </w:t>
      </w:r>
      <w:r w:rsidR="00BE5DD1">
        <w:rPr>
          <w:sz w:val="24"/>
          <w:szCs w:val="24"/>
          <w:lang w:val="es-ES_tradnl"/>
        </w:rPr>
        <w:t>apoyo de la contratación pública</w:t>
      </w:r>
      <w:r w:rsidRPr="00253262">
        <w:rPr>
          <w:sz w:val="24"/>
          <w:szCs w:val="24"/>
          <w:lang w:val="es-ES_tradnl"/>
        </w:rPr>
        <w:t xml:space="preserve"> está causando que muchas empresas ordinarias </w:t>
      </w:r>
      <w:r w:rsidR="00BE5DD1">
        <w:rPr>
          <w:sz w:val="24"/>
          <w:szCs w:val="24"/>
          <w:lang w:val="es-ES_tradnl"/>
        </w:rPr>
        <w:t>les miren</w:t>
      </w:r>
      <w:r w:rsidRPr="00253262">
        <w:rPr>
          <w:sz w:val="24"/>
          <w:szCs w:val="24"/>
          <w:lang w:val="es-ES_tradnl"/>
        </w:rPr>
        <w:t xml:space="preserve"> con cierto recelo, lo cual está teniendo consecuencias negativas en la percepción del sector por la sociedad.</w:t>
      </w:r>
      <w:r w:rsidR="00EC57F6">
        <w:rPr>
          <w:sz w:val="24"/>
          <w:szCs w:val="24"/>
          <w:lang w:val="es-ES_tradnl"/>
        </w:rPr>
        <w:t xml:space="preserve"> Por otro lado, resaltan que hay que trabajar para mejorar </w:t>
      </w:r>
      <w:r w:rsidR="00581504">
        <w:rPr>
          <w:sz w:val="24"/>
          <w:szCs w:val="24"/>
          <w:lang w:val="es-ES_tradnl"/>
        </w:rPr>
        <w:t xml:space="preserve">tanto la convergencia salarial como </w:t>
      </w:r>
      <w:r w:rsidR="00EC57F6" w:rsidRPr="00B32059">
        <w:rPr>
          <w:sz w:val="24"/>
          <w:szCs w:val="24"/>
          <w:lang w:val="es-ES_tradnl"/>
        </w:rPr>
        <w:t xml:space="preserve">la </w:t>
      </w:r>
      <w:r w:rsidR="00581504">
        <w:rPr>
          <w:sz w:val="24"/>
          <w:szCs w:val="24"/>
          <w:lang w:val="es-ES_tradnl"/>
        </w:rPr>
        <w:t>empleabilidad</w:t>
      </w:r>
      <w:r w:rsidR="00EC57F6" w:rsidRPr="00B32059">
        <w:rPr>
          <w:sz w:val="24"/>
          <w:szCs w:val="24"/>
          <w:lang w:val="es-ES_tradnl"/>
        </w:rPr>
        <w:t xml:space="preserve"> de los trabajadores</w:t>
      </w:r>
      <w:r w:rsidR="00581504">
        <w:rPr>
          <w:sz w:val="24"/>
          <w:szCs w:val="24"/>
          <w:lang w:val="es-ES_tradnl"/>
        </w:rPr>
        <w:t xml:space="preserve"> apostando por los planes de desarrollo</w:t>
      </w:r>
      <w:r w:rsidR="00EC57F6" w:rsidRPr="00B32059">
        <w:rPr>
          <w:sz w:val="24"/>
          <w:szCs w:val="24"/>
          <w:lang w:val="es-ES_tradnl"/>
        </w:rPr>
        <w:t>.</w:t>
      </w:r>
    </w:p>
    <w:p w:rsidR="00253262" w:rsidRPr="00253262" w:rsidRDefault="00253262" w:rsidP="005B2F3D">
      <w:pPr>
        <w:spacing w:line="360" w:lineRule="auto"/>
        <w:jc w:val="both"/>
        <w:rPr>
          <w:sz w:val="24"/>
          <w:szCs w:val="24"/>
          <w:lang w:val="es-ES_tradnl"/>
        </w:rPr>
      </w:pPr>
    </w:p>
    <w:p w:rsidR="00253262" w:rsidRDefault="00253262" w:rsidP="005B2F3D">
      <w:pPr>
        <w:spacing w:line="360" w:lineRule="auto"/>
        <w:jc w:val="both"/>
        <w:rPr>
          <w:sz w:val="24"/>
          <w:szCs w:val="24"/>
          <w:lang w:val="es-ES_tradnl"/>
        </w:rPr>
      </w:pPr>
      <w:r w:rsidRPr="00253262">
        <w:rPr>
          <w:sz w:val="24"/>
          <w:szCs w:val="24"/>
          <w:lang w:val="es-ES_tradnl"/>
        </w:rPr>
        <w:t xml:space="preserve">Las consultas también han sacado a la luz opiniones acerca de las diferencias entre los de iniciativa social y los de </w:t>
      </w:r>
      <w:r w:rsidR="003D6D08">
        <w:rPr>
          <w:sz w:val="24"/>
          <w:szCs w:val="24"/>
          <w:lang w:val="es-ES_tradnl"/>
        </w:rPr>
        <w:t>iniciativa empresarial</w:t>
      </w:r>
      <w:r w:rsidRPr="00253262">
        <w:rPr>
          <w:sz w:val="24"/>
          <w:szCs w:val="24"/>
          <w:lang w:val="es-ES_tradnl"/>
        </w:rPr>
        <w:t xml:space="preserve">. A algunos de los </w:t>
      </w:r>
      <w:r w:rsidR="00581504">
        <w:rPr>
          <w:sz w:val="24"/>
          <w:szCs w:val="24"/>
          <w:lang w:val="es-ES_tradnl"/>
        </w:rPr>
        <w:t>gestores consultados</w:t>
      </w:r>
      <w:r w:rsidRPr="00253262">
        <w:rPr>
          <w:sz w:val="24"/>
          <w:szCs w:val="24"/>
          <w:lang w:val="es-ES_tradnl"/>
        </w:rPr>
        <w:t xml:space="preserve"> parece preocuparles </w:t>
      </w:r>
      <w:r w:rsidR="00B32059">
        <w:rPr>
          <w:sz w:val="24"/>
          <w:szCs w:val="24"/>
          <w:lang w:val="es-ES_tradnl"/>
        </w:rPr>
        <w:t>que los modelos</w:t>
      </w:r>
      <w:r w:rsidRPr="00253262">
        <w:rPr>
          <w:sz w:val="24"/>
          <w:szCs w:val="24"/>
          <w:lang w:val="es-ES_tradnl"/>
        </w:rPr>
        <w:t xml:space="preserve"> de gestión </w:t>
      </w:r>
      <w:r w:rsidR="00B32059">
        <w:rPr>
          <w:sz w:val="24"/>
          <w:szCs w:val="24"/>
          <w:lang w:val="es-ES_tradnl"/>
        </w:rPr>
        <w:t>se desvíen</w:t>
      </w:r>
      <w:r w:rsidRPr="00253262">
        <w:rPr>
          <w:sz w:val="24"/>
          <w:szCs w:val="24"/>
          <w:lang w:val="es-ES_tradnl"/>
        </w:rPr>
        <w:t xml:space="preserve"> </w:t>
      </w:r>
      <w:r w:rsidR="00B32059">
        <w:rPr>
          <w:sz w:val="24"/>
          <w:szCs w:val="24"/>
          <w:lang w:val="es-ES_tradnl"/>
        </w:rPr>
        <w:t>de los originalmente concebidos</w:t>
      </w:r>
      <w:r w:rsidRPr="00253262">
        <w:rPr>
          <w:sz w:val="24"/>
          <w:szCs w:val="24"/>
          <w:lang w:val="es-ES_tradnl"/>
        </w:rPr>
        <w:t xml:space="preserve">. </w:t>
      </w:r>
      <w:r w:rsidR="00B32059">
        <w:rPr>
          <w:sz w:val="24"/>
          <w:szCs w:val="24"/>
          <w:lang w:val="es-ES_tradnl"/>
        </w:rPr>
        <w:t>Y que el foco en la rentabilidad ponga en cuestión la calidad del empleo generado</w:t>
      </w:r>
      <w:r w:rsidR="00581504">
        <w:rPr>
          <w:sz w:val="24"/>
          <w:szCs w:val="24"/>
          <w:lang w:val="es-ES_tradnl"/>
        </w:rPr>
        <w:t>, las oportunidades para las personas con discapacidad</w:t>
      </w:r>
      <w:r w:rsidR="00B32059">
        <w:rPr>
          <w:sz w:val="24"/>
          <w:szCs w:val="24"/>
          <w:lang w:val="es-ES_tradnl"/>
        </w:rPr>
        <w:t xml:space="preserve"> o la reputación del sector. </w:t>
      </w:r>
      <w:r w:rsidR="00581504">
        <w:rPr>
          <w:sz w:val="24"/>
          <w:szCs w:val="24"/>
          <w:lang w:val="es-ES_tradnl"/>
        </w:rPr>
        <w:t>Quienes así se manifiestan consideran</w:t>
      </w:r>
      <w:r w:rsidRPr="00253262">
        <w:rPr>
          <w:sz w:val="24"/>
          <w:szCs w:val="24"/>
          <w:lang w:val="es-ES_tradnl"/>
        </w:rPr>
        <w:t xml:space="preserve"> crucial que la Administración se asegure de que todos los </w:t>
      </w:r>
      <w:r w:rsidR="00BE5DD1">
        <w:rPr>
          <w:sz w:val="24"/>
          <w:szCs w:val="24"/>
          <w:lang w:val="es-ES_tradnl"/>
        </w:rPr>
        <w:t>centros especiales de empleo</w:t>
      </w:r>
      <w:r w:rsidRPr="00253262">
        <w:rPr>
          <w:sz w:val="24"/>
          <w:szCs w:val="24"/>
          <w:lang w:val="es-ES_tradnl"/>
        </w:rPr>
        <w:t xml:space="preserve">, tanto de </w:t>
      </w:r>
      <w:r w:rsidR="003D6D08">
        <w:rPr>
          <w:sz w:val="24"/>
          <w:szCs w:val="24"/>
          <w:lang w:val="es-ES_tradnl"/>
        </w:rPr>
        <w:t>iniciativa empresarial</w:t>
      </w:r>
      <w:r w:rsidRPr="00253262">
        <w:rPr>
          <w:sz w:val="24"/>
          <w:szCs w:val="24"/>
          <w:lang w:val="es-ES_tradnl"/>
        </w:rPr>
        <w:t xml:space="preserve"> como de iniciativa social, cumplen </w:t>
      </w:r>
      <w:r w:rsidR="00BE5DD1">
        <w:rPr>
          <w:sz w:val="24"/>
          <w:szCs w:val="24"/>
          <w:lang w:val="es-ES_tradnl"/>
        </w:rPr>
        <w:t>y van más allá de lo</w:t>
      </w:r>
      <w:r w:rsidRPr="00253262">
        <w:rPr>
          <w:sz w:val="24"/>
          <w:szCs w:val="24"/>
          <w:lang w:val="es-ES_tradnl"/>
        </w:rPr>
        <w:t xml:space="preserve"> que exige la ley y ofrecen empleo de calidad a las personas con discapacidad.</w:t>
      </w:r>
      <w:r w:rsidR="00BE5DD1">
        <w:rPr>
          <w:sz w:val="24"/>
          <w:szCs w:val="24"/>
          <w:lang w:val="es-ES_tradnl"/>
        </w:rPr>
        <w:t xml:space="preserve"> </w:t>
      </w:r>
    </w:p>
    <w:p w:rsidR="00D36F3C" w:rsidRDefault="00D36F3C" w:rsidP="005B2F3D">
      <w:pPr>
        <w:spacing w:line="360" w:lineRule="auto"/>
        <w:jc w:val="both"/>
        <w:rPr>
          <w:sz w:val="24"/>
          <w:szCs w:val="24"/>
          <w:lang w:val="es-ES_tradnl"/>
        </w:rPr>
      </w:pPr>
    </w:p>
    <w:p w:rsidR="00502912" w:rsidRDefault="00581504" w:rsidP="007359BF">
      <w:pPr>
        <w:spacing w:line="360" w:lineRule="auto"/>
        <w:jc w:val="both"/>
        <w:rPr>
          <w:sz w:val="24"/>
          <w:szCs w:val="24"/>
          <w:lang w:val="es-ES_tradnl"/>
        </w:rPr>
      </w:pPr>
      <w:r>
        <w:rPr>
          <w:sz w:val="24"/>
          <w:szCs w:val="24"/>
          <w:lang w:val="es-ES_tradnl"/>
        </w:rPr>
        <w:t>S</w:t>
      </w:r>
      <w:r w:rsidR="00D36F3C">
        <w:rPr>
          <w:sz w:val="24"/>
          <w:szCs w:val="24"/>
          <w:lang w:val="es-ES_tradnl"/>
        </w:rPr>
        <w:t xml:space="preserve">in embargo, algunos </w:t>
      </w:r>
      <w:r>
        <w:rPr>
          <w:sz w:val="24"/>
          <w:szCs w:val="24"/>
          <w:lang w:val="es-ES_tradnl"/>
        </w:rPr>
        <w:t>gestores</w:t>
      </w:r>
      <w:r w:rsidR="00D36F3C">
        <w:rPr>
          <w:sz w:val="24"/>
          <w:szCs w:val="24"/>
          <w:lang w:val="es-ES_tradnl"/>
        </w:rPr>
        <w:t xml:space="preserve"> opinan que han de superarse la</w:t>
      </w:r>
      <w:r w:rsidR="00502912">
        <w:rPr>
          <w:sz w:val="24"/>
          <w:szCs w:val="24"/>
          <w:lang w:val="es-ES_tradnl"/>
        </w:rPr>
        <w:t>s</w:t>
      </w:r>
      <w:r w:rsidR="00D36F3C">
        <w:rPr>
          <w:sz w:val="24"/>
          <w:szCs w:val="24"/>
          <w:lang w:val="es-ES_tradnl"/>
        </w:rPr>
        <w:t xml:space="preserve"> diferencias </w:t>
      </w:r>
      <w:r w:rsidR="00502912">
        <w:rPr>
          <w:sz w:val="24"/>
          <w:szCs w:val="24"/>
          <w:lang w:val="es-ES_tradnl"/>
        </w:rPr>
        <w:t xml:space="preserve">entre los </w:t>
      </w:r>
      <w:r w:rsidR="00BE5DD1">
        <w:rPr>
          <w:sz w:val="24"/>
          <w:szCs w:val="24"/>
          <w:lang w:val="es-ES_tradnl"/>
        </w:rPr>
        <w:t xml:space="preserve">centros especiales de empleo </w:t>
      </w:r>
      <w:r w:rsidR="00502912">
        <w:rPr>
          <w:sz w:val="24"/>
          <w:szCs w:val="24"/>
          <w:lang w:val="es-ES_tradnl"/>
        </w:rPr>
        <w:t xml:space="preserve">de iniciativa social y los de </w:t>
      </w:r>
      <w:r w:rsidR="003D6D08">
        <w:rPr>
          <w:sz w:val="24"/>
          <w:szCs w:val="24"/>
          <w:lang w:val="es-ES_tradnl"/>
        </w:rPr>
        <w:t>iniciativa empresarial</w:t>
      </w:r>
      <w:r w:rsidR="00502912">
        <w:rPr>
          <w:sz w:val="24"/>
          <w:szCs w:val="24"/>
          <w:lang w:val="es-ES_tradnl"/>
        </w:rPr>
        <w:t xml:space="preserve"> y que, de hecho, </w:t>
      </w:r>
      <w:r>
        <w:rPr>
          <w:sz w:val="24"/>
          <w:szCs w:val="24"/>
          <w:lang w:val="es-ES_tradnl"/>
        </w:rPr>
        <w:t>ya se ha recorrido</w:t>
      </w:r>
      <w:r w:rsidR="00502912">
        <w:rPr>
          <w:sz w:val="24"/>
          <w:szCs w:val="24"/>
          <w:lang w:val="es-ES_tradnl"/>
        </w:rPr>
        <w:t xml:space="preserve"> </w:t>
      </w:r>
      <w:r>
        <w:rPr>
          <w:sz w:val="24"/>
          <w:szCs w:val="24"/>
          <w:lang w:val="es-ES_tradnl"/>
        </w:rPr>
        <w:t>camino a este respecto</w:t>
      </w:r>
      <w:r w:rsidR="00502912">
        <w:rPr>
          <w:sz w:val="24"/>
          <w:szCs w:val="24"/>
          <w:lang w:val="es-ES_tradnl"/>
        </w:rPr>
        <w:t xml:space="preserve">. Estos </w:t>
      </w:r>
      <w:r w:rsidR="004D1EC8">
        <w:rPr>
          <w:sz w:val="24"/>
          <w:szCs w:val="24"/>
          <w:lang w:val="es-ES_tradnl"/>
        </w:rPr>
        <w:t xml:space="preserve">gestores ponen el acento en la consideración de los centros especiales de empleo como empresas sociales. </w:t>
      </w:r>
      <w:r w:rsidR="00502912">
        <w:rPr>
          <w:sz w:val="24"/>
          <w:szCs w:val="24"/>
          <w:lang w:val="es-ES_tradnl"/>
        </w:rPr>
        <w:t>Hacen hincapié en la importancia de que se continúe</w:t>
      </w:r>
      <w:r w:rsidR="007359BF">
        <w:rPr>
          <w:sz w:val="24"/>
          <w:szCs w:val="24"/>
          <w:lang w:val="es-ES_tradnl"/>
        </w:rPr>
        <w:t xml:space="preserve"> en esta línea ya que </w:t>
      </w:r>
      <w:r w:rsidR="00502912">
        <w:rPr>
          <w:sz w:val="24"/>
          <w:szCs w:val="24"/>
          <w:lang w:val="es-ES_tradnl"/>
        </w:rPr>
        <w:t xml:space="preserve">todos los </w:t>
      </w:r>
      <w:r w:rsidR="00BE5DD1">
        <w:rPr>
          <w:sz w:val="24"/>
          <w:szCs w:val="24"/>
          <w:lang w:val="es-ES_tradnl"/>
        </w:rPr>
        <w:t>centros especiales de empleo</w:t>
      </w:r>
      <w:r w:rsidR="00502912">
        <w:rPr>
          <w:sz w:val="24"/>
          <w:szCs w:val="24"/>
          <w:lang w:val="es-ES_tradnl"/>
        </w:rPr>
        <w:t xml:space="preserve"> son necesarios y la dif</w:t>
      </w:r>
      <w:r w:rsidR="00BF1871">
        <w:rPr>
          <w:sz w:val="24"/>
          <w:szCs w:val="24"/>
          <w:lang w:val="es-ES_tradnl"/>
        </w:rPr>
        <w:t>erenciación negativa entre unos</w:t>
      </w:r>
      <w:r w:rsidR="00502912">
        <w:rPr>
          <w:sz w:val="24"/>
          <w:szCs w:val="24"/>
          <w:lang w:val="es-ES_tradnl"/>
        </w:rPr>
        <w:t xml:space="preserve"> y otro</w:t>
      </w:r>
      <w:r w:rsidR="0065338E">
        <w:rPr>
          <w:sz w:val="24"/>
          <w:szCs w:val="24"/>
          <w:lang w:val="es-ES_tradnl"/>
        </w:rPr>
        <w:t>s</w:t>
      </w:r>
      <w:r w:rsidR="00502912">
        <w:rPr>
          <w:sz w:val="24"/>
          <w:szCs w:val="24"/>
          <w:lang w:val="es-ES_tradnl"/>
        </w:rPr>
        <w:t xml:space="preserve"> puede </w:t>
      </w:r>
      <w:r w:rsidR="004D1EC8">
        <w:rPr>
          <w:sz w:val="24"/>
          <w:szCs w:val="24"/>
          <w:lang w:val="es-ES_tradnl"/>
        </w:rPr>
        <w:t>menoscabar la reputación del conjunto del sector</w:t>
      </w:r>
      <w:r w:rsidR="00502912">
        <w:rPr>
          <w:sz w:val="24"/>
          <w:szCs w:val="24"/>
          <w:lang w:val="es-ES_tradnl"/>
        </w:rPr>
        <w:t xml:space="preserve">. </w:t>
      </w:r>
    </w:p>
    <w:p w:rsidR="007359BF" w:rsidRPr="00253262" w:rsidRDefault="007359BF" w:rsidP="005B2F3D">
      <w:pPr>
        <w:spacing w:line="360" w:lineRule="auto"/>
        <w:jc w:val="both"/>
        <w:rPr>
          <w:sz w:val="24"/>
          <w:szCs w:val="24"/>
          <w:lang w:val="es-ES_tradnl"/>
        </w:rPr>
      </w:pPr>
    </w:p>
    <w:p w:rsidR="007E52D8" w:rsidRDefault="00253262" w:rsidP="007E52D8">
      <w:pPr>
        <w:spacing w:line="360" w:lineRule="auto"/>
        <w:jc w:val="both"/>
        <w:rPr>
          <w:sz w:val="24"/>
          <w:szCs w:val="24"/>
          <w:lang w:val="es-ES_tradnl"/>
        </w:rPr>
      </w:pPr>
      <w:r w:rsidRPr="00253262">
        <w:rPr>
          <w:sz w:val="24"/>
          <w:szCs w:val="24"/>
          <w:lang w:val="es-ES_tradnl"/>
        </w:rPr>
        <w:t xml:space="preserve">En cuanto a la situación de Castilla y León en comparación con otros territorios, los </w:t>
      </w:r>
      <w:r w:rsidR="004D1EC8">
        <w:rPr>
          <w:sz w:val="24"/>
          <w:szCs w:val="24"/>
          <w:lang w:val="es-ES_tradnl"/>
        </w:rPr>
        <w:t xml:space="preserve">gestores </w:t>
      </w:r>
      <w:r w:rsidR="00832241">
        <w:rPr>
          <w:sz w:val="24"/>
          <w:szCs w:val="24"/>
          <w:lang w:val="es-ES_tradnl"/>
        </w:rPr>
        <w:t xml:space="preserve">señalan </w:t>
      </w:r>
      <w:r w:rsidRPr="00253262">
        <w:rPr>
          <w:sz w:val="24"/>
          <w:szCs w:val="24"/>
          <w:lang w:val="es-ES_tradnl"/>
        </w:rPr>
        <w:t>que, a pesar de las dificultades y de los inevitables recortes en las subvenciones, la Junta de Castilla y León está mant</w:t>
      </w:r>
      <w:r w:rsidR="00832241">
        <w:rPr>
          <w:sz w:val="24"/>
          <w:szCs w:val="24"/>
          <w:lang w:val="es-ES_tradnl"/>
        </w:rPr>
        <w:t xml:space="preserve">eniendo su compromiso </w:t>
      </w:r>
      <w:r w:rsidRPr="00253262">
        <w:rPr>
          <w:sz w:val="24"/>
          <w:szCs w:val="24"/>
          <w:lang w:val="es-ES_tradnl"/>
        </w:rPr>
        <w:t xml:space="preserve">y que sus </w:t>
      </w:r>
      <w:r w:rsidR="004D1EC8">
        <w:rPr>
          <w:sz w:val="24"/>
          <w:szCs w:val="24"/>
          <w:lang w:val="es-ES_tradnl"/>
        </w:rPr>
        <w:t>centros</w:t>
      </w:r>
      <w:r w:rsidRPr="00253262">
        <w:rPr>
          <w:sz w:val="24"/>
          <w:szCs w:val="24"/>
          <w:lang w:val="es-ES_tradnl"/>
        </w:rPr>
        <w:t xml:space="preserve"> no están siendo tan castigados como los de otros territorios.</w:t>
      </w:r>
      <w:r w:rsidR="007359BF">
        <w:rPr>
          <w:sz w:val="24"/>
          <w:szCs w:val="24"/>
          <w:lang w:val="es-ES_tradnl"/>
        </w:rPr>
        <w:t xml:space="preserve"> Resaltan que el gobierno autonómico actual </w:t>
      </w:r>
      <w:r w:rsidR="004D1EC8">
        <w:rPr>
          <w:sz w:val="24"/>
          <w:szCs w:val="24"/>
          <w:lang w:val="es-ES_tradnl"/>
        </w:rPr>
        <w:t>ha contribuido a la transformación</w:t>
      </w:r>
      <w:r w:rsidR="007359BF" w:rsidRPr="007359BF">
        <w:rPr>
          <w:sz w:val="24"/>
          <w:szCs w:val="24"/>
          <w:lang w:val="es-ES_tradnl"/>
        </w:rPr>
        <w:t xml:space="preserve"> que están llevando a cabo y que su iniciativa está siendo un elemento clave en el sector.</w:t>
      </w:r>
      <w:r w:rsidR="007359BF">
        <w:rPr>
          <w:lang w:val="es-ES_tradnl"/>
        </w:rPr>
        <w:t xml:space="preserve"> </w:t>
      </w:r>
    </w:p>
    <w:p w:rsidR="00D36F3C" w:rsidRDefault="00D36F3C" w:rsidP="007E52D8">
      <w:pPr>
        <w:spacing w:line="360" w:lineRule="auto"/>
        <w:jc w:val="both"/>
        <w:rPr>
          <w:sz w:val="24"/>
          <w:szCs w:val="24"/>
          <w:lang w:val="es-ES_tradnl"/>
        </w:rPr>
      </w:pPr>
    </w:p>
    <w:p w:rsidR="00D36F3C" w:rsidRPr="00D36F3C" w:rsidRDefault="00D36F3C" w:rsidP="00842404">
      <w:pPr>
        <w:spacing w:line="360" w:lineRule="auto"/>
        <w:jc w:val="both"/>
        <w:rPr>
          <w:sz w:val="24"/>
          <w:szCs w:val="24"/>
          <w:lang w:val="es-ES_tradnl"/>
        </w:rPr>
      </w:pPr>
      <w:r>
        <w:rPr>
          <w:sz w:val="24"/>
          <w:szCs w:val="24"/>
          <w:lang w:val="es-ES_tradnl"/>
        </w:rPr>
        <w:t xml:space="preserve">Finalmente, algunos </w:t>
      </w:r>
      <w:r w:rsidR="00640BE5">
        <w:rPr>
          <w:sz w:val="24"/>
          <w:szCs w:val="24"/>
          <w:lang w:val="es-ES_tradnl"/>
        </w:rPr>
        <w:t>centros</w:t>
      </w:r>
      <w:r>
        <w:rPr>
          <w:sz w:val="24"/>
          <w:szCs w:val="24"/>
          <w:lang w:val="es-ES_tradnl"/>
        </w:rPr>
        <w:t xml:space="preserve"> resaltan </w:t>
      </w:r>
      <w:r w:rsidR="007359BF">
        <w:rPr>
          <w:sz w:val="24"/>
          <w:szCs w:val="24"/>
          <w:lang w:val="es-ES_tradnl"/>
        </w:rPr>
        <w:t xml:space="preserve">la importancia de que se realicen </w:t>
      </w:r>
      <w:r>
        <w:rPr>
          <w:sz w:val="24"/>
          <w:szCs w:val="24"/>
          <w:lang w:val="es-ES_tradnl"/>
        </w:rPr>
        <w:t xml:space="preserve">estudios que evalúen a </w:t>
      </w:r>
      <w:r w:rsidRPr="00D36F3C">
        <w:rPr>
          <w:sz w:val="24"/>
          <w:szCs w:val="24"/>
          <w:lang w:val="es-ES_tradnl"/>
        </w:rPr>
        <w:t xml:space="preserve">los </w:t>
      </w:r>
      <w:r w:rsidR="00BE5DD1">
        <w:rPr>
          <w:sz w:val="24"/>
          <w:szCs w:val="24"/>
          <w:lang w:val="es-ES_tradnl"/>
        </w:rPr>
        <w:t>centros especiales de empleo</w:t>
      </w:r>
      <w:r w:rsidRPr="00D36F3C">
        <w:rPr>
          <w:sz w:val="24"/>
          <w:szCs w:val="24"/>
          <w:lang w:val="es-ES_tradnl"/>
        </w:rPr>
        <w:t xml:space="preserve"> rigurosamente </w:t>
      </w:r>
      <w:r w:rsidR="007359BF">
        <w:rPr>
          <w:sz w:val="24"/>
          <w:szCs w:val="24"/>
          <w:lang w:val="es-ES_tradnl"/>
        </w:rPr>
        <w:t xml:space="preserve">para </w:t>
      </w:r>
      <w:r w:rsidR="00640BE5">
        <w:rPr>
          <w:sz w:val="24"/>
          <w:szCs w:val="24"/>
          <w:lang w:val="es-ES_tradnl"/>
        </w:rPr>
        <w:t xml:space="preserve">poner en valor el impacto social del sector, para </w:t>
      </w:r>
      <w:r w:rsidR="007359BF">
        <w:rPr>
          <w:sz w:val="24"/>
          <w:szCs w:val="24"/>
          <w:lang w:val="es-ES_tradnl"/>
        </w:rPr>
        <w:t xml:space="preserve">poder sacar conclusiones informadas sobre </w:t>
      </w:r>
      <w:r w:rsidR="00640BE5">
        <w:rPr>
          <w:sz w:val="24"/>
          <w:szCs w:val="24"/>
          <w:lang w:val="es-ES_tradnl"/>
        </w:rPr>
        <w:t>su desempeño actual</w:t>
      </w:r>
      <w:r w:rsidR="007359BF">
        <w:rPr>
          <w:sz w:val="24"/>
          <w:szCs w:val="24"/>
          <w:lang w:val="es-ES_tradnl"/>
        </w:rPr>
        <w:t xml:space="preserve"> y </w:t>
      </w:r>
      <w:r w:rsidR="00640BE5">
        <w:rPr>
          <w:sz w:val="24"/>
          <w:szCs w:val="24"/>
          <w:lang w:val="es-ES_tradnl"/>
        </w:rPr>
        <w:t xml:space="preserve">para poder trabajar </w:t>
      </w:r>
      <w:r w:rsidR="007359BF">
        <w:rPr>
          <w:sz w:val="24"/>
          <w:szCs w:val="24"/>
          <w:lang w:val="es-ES_tradnl"/>
        </w:rPr>
        <w:t xml:space="preserve">las líneas </w:t>
      </w:r>
      <w:r w:rsidR="00640BE5">
        <w:rPr>
          <w:sz w:val="24"/>
          <w:szCs w:val="24"/>
          <w:lang w:val="es-ES_tradnl"/>
        </w:rPr>
        <w:t>de</w:t>
      </w:r>
      <w:r w:rsidR="007359BF">
        <w:rPr>
          <w:sz w:val="24"/>
          <w:szCs w:val="24"/>
          <w:lang w:val="es-ES_tradnl"/>
        </w:rPr>
        <w:t xml:space="preserve"> futuro.</w:t>
      </w:r>
    </w:p>
    <w:p w:rsidR="00B951E4" w:rsidRPr="00253262" w:rsidRDefault="00B951E4" w:rsidP="005B2F3D">
      <w:pPr>
        <w:pStyle w:val="Textoindependiente"/>
        <w:spacing w:before="0" w:after="0" w:line="360" w:lineRule="auto"/>
        <w:rPr>
          <w:b/>
          <w:sz w:val="24"/>
          <w:szCs w:val="24"/>
          <w:lang w:val="es-ES_tradnl"/>
        </w:rPr>
      </w:pPr>
    </w:p>
    <w:p w:rsidR="00253262" w:rsidRDefault="00253262" w:rsidP="005B2F3D">
      <w:pPr>
        <w:spacing w:line="360" w:lineRule="auto"/>
        <w:jc w:val="both"/>
        <w:rPr>
          <w:b/>
          <w:szCs w:val="22"/>
          <w:lang w:val="es-ES_tradnl"/>
        </w:rPr>
      </w:pPr>
      <w:r>
        <w:rPr>
          <w:b/>
          <w:szCs w:val="22"/>
          <w:lang w:val="es-ES_tradnl"/>
        </w:rPr>
        <w:t>3</w:t>
      </w:r>
      <w:r w:rsidRPr="00253262">
        <w:rPr>
          <w:b/>
          <w:szCs w:val="22"/>
          <w:lang w:val="es-ES_tradnl"/>
        </w:rPr>
        <w:t xml:space="preserve">. </w:t>
      </w:r>
      <w:r w:rsidRPr="00253262">
        <w:rPr>
          <w:b/>
          <w:szCs w:val="22"/>
        </w:rPr>
        <w:t xml:space="preserve">Indique, </w:t>
      </w:r>
      <w:r w:rsidRPr="00253262">
        <w:rPr>
          <w:b/>
          <w:szCs w:val="22"/>
          <w:lang w:val="es-ES_tradnl"/>
        </w:rPr>
        <w:t xml:space="preserve">del 1 al 10, su grado de acuerdo o desacuerdo con la siguiente afirmación: "Creo que los CEE de Castilla y León cuentan con </w:t>
      </w:r>
      <w:r w:rsidR="00BB4975">
        <w:rPr>
          <w:b/>
          <w:szCs w:val="22"/>
          <w:lang w:val="es-ES_tradnl"/>
        </w:rPr>
        <w:t>notabl</w:t>
      </w:r>
      <w:r w:rsidRPr="00253262">
        <w:rPr>
          <w:b/>
          <w:szCs w:val="22"/>
          <w:lang w:val="es-ES_tradnl"/>
        </w:rPr>
        <w:t xml:space="preserve">es fortalezas que les permitirán </w:t>
      </w:r>
      <w:r>
        <w:rPr>
          <w:b/>
          <w:szCs w:val="22"/>
          <w:lang w:val="es-ES_tradnl"/>
        </w:rPr>
        <w:t xml:space="preserve">seguir </w:t>
      </w:r>
      <w:r w:rsidRPr="00253262">
        <w:rPr>
          <w:b/>
          <w:szCs w:val="22"/>
          <w:lang w:val="es-ES_tradnl"/>
        </w:rPr>
        <w:t>siendo en el futuro previsible un modelo eficiente y de alto impacto de integración de las personas con discapacidad." 1 Significa completamente en desacuerdo y 10 completamente de acuerdo.</w:t>
      </w:r>
    </w:p>
    <w:p w:rsidR="00253262" w:rsidRDefault="0097097F" w:rsidP="005B2F3D">
      <w:pPr>
        <w:spacing w:line="360" w:lineRule="auto"/>
        <w:ind w:left="-426"/>
        <w:jc w:val="both"/>
        <w:rPr>
          <w:b/>
          <w:szCs w:val="22"/>
          <w:lang w:val="es-ES_tradnl"/>
        </w:rPr>
      </w:pPr>
      <w:r>
        <w:rPr>
          <w:noProof/>
          <w:lang w:eastAsia="es-ES"/>
        </w:rPr>
        <w:drawing>
          <wp:inline distT="0" distB="0" distL="0" distR="0">
            <wp:extent cx="4924425" cy="32289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53262" w:rsidRPr="004F4483" w:rsidRDefault="00253262" w:rsidP="005B2F3D">
      <w:pPr>
        <w:spacing w:line="360" w:lineRule="auto"/>
        <w:jc w:val="both"/>
        <w:rPr>
          <w:sz w:val="20"/>
        </w:rPr>
      </w:pPr>
      <w:r w:rsidRPr="004F4483">
        <w:rPr>
          <w:sz w:val="20"/>
        </w:rPr>
        <w:t>Fuente: Elaboración propia</w:t>
      </w:r>
    </w:p>
    <w:p w:rsidR="00253262" w:rsidRPr="004F4483" w:rsidRDefault="00253262" w:rsidP="005B2F3D">
      <w:pPr>
        <w:pBdr>
          <w:bottom w:val="single" w:sz="4" w:space="1" w:color="auto"/>
        </w:pBdr>
        <w:spacing w:line="360" w:lineRule="auto"/>
        <w:jc w:val="both"/>
        <w:rPr>
          <w:sz w:val="20"/>
        </w:rPr>
      </w:pPr>
      <w:r>
        <w:rPr>
          <w:sz w:val="20"/>
        </w:rPr>
        <w:t xml:space="preserve">Como se puede ver en el gráfico los </w:t>
      </w:r>
      <w:r w:rsidR="00A95742">
        <w:rPr>
          <w:sz w:val="20"/>
        </w:rPr>
        <w:t>CEEs</w:t>
      </w:r>
      <w:r>
        <w:rPr>
          <w:sz w:val="20"/>
        </w:rPr>
        <w:t xml:space="preserve"> consultados muestran distintos grados de acuerdo con la afirmación, reflejando que algunos </w:t>
      </w:r>
      <w:r w:rsidR="00A95742">
        <w:rPr>
          <w:sz w:val="20"/>
        </w:rPr>
        <w:t>CEEs</w:t>
      </w:r>
      <w:r>
        <w:rPr>
          <w:sz w:val="20"/>
        </w:rPr>
        <w:t xml:space="preserve"> creen que los CEE</w:t>
      </w:r>
      <w:r w:rsidR="00352FE5">
        <w:rPr>
          <w:sz w:val="20"/>
        </w:rPr>
        <w:t>s</w:t>
      </w:r>
      <w:r>
        <w:rPr>
          <w:sz w:val="20"/>
        </w:rPr>
        <w:t xml:space="preserve"> de Castilla y León cuentan con </w:t>
      </w:r>
      <w:r w:rsidR="00352FE5">
        <w:rPr>
          <w:sz w:val="20"/>
        </w:rPr>
        <w:t xml:space="preserve">notables </w:t>
      </w:r>
      <w:r>
        <w:rPr>
          <w:sz w:val="20"/>
        </w:rPr>
        <w:t>fortalezas que les permitirán seguir siendo en el futuro previsible un modelo eficiente y de alto impacto de integración de las personas con discapacidad; mientras que otros ponen más en duda esa afirmación.</w:t>
      </w:r>
    </w:p>
    <w:p w:rsidR="00253262" w:rsidRPr="004F4483" w:rsidRDefault="00253262" w:rsidP="005B2F3D">
      <w:pPr>
        <w:spacing w:line="360" w:lineRule="auto"/>
        <w:jc w:val="both"/>
      </w:pPr>
    </w:p>
    <w:p w:rsidR="00253262" w:rsidRDefault="00253262" w:rsidP="005B2F3D">
      <w:pPr>
        <w:spacing w:line="360" w:lineRule="auto"/>
        <w:jc w:val="both"/>
        <w:rPr>
          <w:b/>
          <w:u w:val="single"/>
          <w:lang w:val="es-ES_tradnl"/>
        </w:rPr>
      </w:pPr>
      <w:r>
        <w:rPr>
          <w:b/>
          <w:lang w:val="es-ES_tradnl"/>
        </w:rPr>
        <w:t>4</w:t>
      </w:r>
      <w:r w:rsidRPr="00253262">
        <w:rPr>
          <w:b/>
          <w:lang w:val="es-ES_tradnl"/>
        </w:rPr>
        <w:t xml:space="preserve">. ¿Cuáles son las principales fortalezas, a su modo de ver, de los </w:t>
      </w:r>
      <w:r w:rsidR="00263316">
        <w:rPr>
          <w:b/>
          <w:lang w:val="es-ES_tradnl"/>
        </w:rPr>
        <w:t>Centros Especiales de Empleo</w:t>
      </w:r>
      <w:r w:rsidRPr="00253262">
        <w:rPr>
          <w:b/>
          <w:lang w:val="es-ES_tradnl"/>
        </w:rPr>
        <w:t xml:space="preserve"> de Castilla y León como sector?</w:t>
      </w:r>
      <w:r w:rsidRPr="00C0580B">
        <w:rPr>
          <w:b/>
          <w:u w:val="single"/>
          <w:lang w:val="es-ES_tradnl"/>
        </w:rPr>
        <w:t xml:space="preserve"> </w:t>
      </w:r>
    </w:p>
    <w:p w:rsidR="00253262" w:rsidRPr="00253262" w:rsidRDefault="00253262" w:rsidP="005B2F3D">
      <w:pPr>
        <w:spacing w:line="360" w:lineRule="auto"/>
        <w:jc w:val="both"/>
        <w:rPr>
          <w:b/>
          <w:sz w:val="24"/>
          <w:szCs w:val="24"/>
        </w:rPr>
      </w:pPr>
    </w:p>
    <w:p w:rsidR="00253262" w:rsidRDefault="00BB4975" w:rsidP="005B2F3D">
      <w:pPr>
        <w:spacing w:line="360" w:lineRule="auto"/>
        <w:jc w:val="both"/>
        <w:rPr>
          <w:sz w:val="24"/>
          <w:szCs w:val="24"/>
          <w:lang w:val="es-ES_tradnl"/>
        </w:rPr>
      </w:pPr>
      <w:r>
        <w:rPr>
          <w:sz w:val="24"/>
          <w:szCs w:val="24"/>
          <w:lang w:val="es-ES_tradnl"/>
        </w:rPr>
        <w:t>Hay unanimidad</w:t>
      </w:r>
      <w:r w:rsidR="00253262" w:rsidRPr="00253262">
        <w:rPr>
          <w:sz w:val="24"/>
          <w:szCs w:val="24"/>
          <w:lang w:val="es-ES_tradnl"/>
        </w:rPr>
        <w:t xml:space="preserve"> entre los </w:t>
      </w:r>
      <w:r>
        <w:rPr>
          <w:sz w:val="24"/>
          <w:szCs w:val="24"/>
          <w:lang w:val="es-ES_tradnl"/>
        </w:rPr>
        <w:t>gestores</w:t>
      </w:r>
      <w:r w:rsidR="00253262" w:rsidRPr="00253262">
        <w:rPr>
          <w:sz w:val="24"/>
          <w:szCs w:val="24"/>
          <w:lang w:val="es-ES_tradnl"/>
        </w:rPr>
        <w:t xml:space="preserve"> consultados en que la principal fortaleza es el impacto social que generan en el colectivo de</w:t>
      </w:r>
      <w:r w:rsidR="00EC57F6">
        <w:rPr>
          <w:sz w:val="24"/>
          <w:szCs w:val="24"/>
          <w:lang w:val="es-ES_tradnl"/>
        </w:rPr>
        <w:t xml:space="preserve"> las personas con discapacidad. Resaltan que a </w:t>
      </w:r>
      <w:r w:rsidR="00EC57F6" w:rsidRPr="00B32059">
        <w:rPr>
          <w:sz w:val="24"/>
          <w:szCs w:val="24"/>
          <w:lang w:val="es-ES_tradnl"/>
        </w:rPr>
        <w:t>pesar de la crisis ha habido un mantenimiento del empleo.</w:t>
      </w:r>
      <w:r w:rsidR="00EC57F6">
        <w:rPr>
          <w:sz w:val="24"/>
          <w:szCs w:val="24"/>
          <w:lang w:val="es-ES_tradnl"/>
        </w:rPr>
        <w:t xml:space="preserve"> </w:t>
      </w:r>
      <w:r w:rsidR="00253262" w:rsidRPr="00253262">
        <w:rPr>
          <w:sz w:val="24"/>
          <w:szCs w:val="24"/>
          <w:lang w:val="es-ES_tradnl"/>
        </w:rPr>
        <w:t xml:space="preserve">Algunos </w:t>
      </w:r>
      <w:r>
        <w:rPr>
          <w:sz w:val="24"/>
          <w:szCs w:val="24"/>
          <w:lang w:val="es-ES_tradnl"/>
        </w:rPr>
        <w:t>gestores</w:t>
      </w:r>
      <w:r w:rsidR="00253262" w:rsidRPr="00253262">
        <w:rPr>
          <w:sz w:val="24"/>
          <w:szCs w:val="24"/>
          <w:lang w:val="es-ES_tradnl"/>
        </w:rPr>
        <w:t xml:space="preserve"> </w:t>
      </w:r>
      <w:r w:rsidR="00EC57F6">
        <w:rPr>
          <w:sz w:val="24"/>
          <w:szCs w:val="24"/>
          <w:lang w:val="es-ES_tradnl"/>
        </w:rPr>
        <w:t>hacen espe</w:t>
      </w:r>
      <w:r w:rsidR="00316DE4">
        <w:rPr>
          <w:sz w:val="24"/>
          <w:szCs w:val="24"/>
          <w:lang w:val="es-ES_tradnl"/>
        </w:rPr>
        <w:t xml:space="preserve">cial mención, por un lado, </w:t>
      </w:r>
      <w:r>
        <w:rPr>
          <w:sz w:val="24"/>
          <w:szCs w:val="24"/>
          <w:lang w:val="es-ES_tradnl"/>
        </w:rPr>
        <w:t>al</w:t>
      </w:r>
      <w:r w:rsidR="00EC57F6">
        <w:rPr>
          <w:sz w:val="24"/>
          <w:szCs w:val="24"/>
          <w:lang w:val="es-ES_tradnl"/>
        </w:rPr>
        <w:t xml:space="preserve"> enorme compromiso </w:t>
      </w:r>
      <w:r>
        <w:rPr>
          <w:sz w:val="24"/>
          <w:szCs w:val="24"/>
          <w:lang w:val="es-ES_tradnl"/>
        </w:rPr>
        <w:t xml:space="preserve">con el trabajo </w:t>
      </w:r>
      <w:r w:rsidR="00EC57F6">
        <w:rPr>
          <w:sz w:val="24"/>
          <w:szCs w:val="24"/>
          <w:lang w:val="es-ES_tradnl"/>
        </w:rPr>
        <w:t>que muestran</w:t>
      </w:r>
      <w:r w:rsidR="00253262" w:rsidRPr="00253262">
        <w:rPr>
          <w:sz w:val="24"/>
          <w:szCs w:val="24"/>
          <w:lang w:val="es-ES_tradnl"/>
        </w:rPr>
        <w:t xml:space="preserve"> las personas con discapacidad </w:t>
      </w:r>
      <w:r w:rsidR="00EC57F6">
        <w:rPr>
          <w:sz w:val="24"/>
          <w:szCs w:val="24"/>
          <w:lang w:val="es-ES_tradnl"/>
        </w:rPr>
        <w:t>y las</w:t>
      </w:r>
      <w:r w:rsidR="00253262" w:rsidRPr="00253262">
        <w:rPr>
          <w:sz w:val="24"/>
          <w:szCs w:val="24"/>
          <w:lang w:val="es-ES_tradnl"/>
        </w:rPr>
        <w:t xml:space="preserve"> </w:t>
      </w:r>
      <w:r w:rsidR="00316DE4">
        <w:rPr>
          <w:sz w:val="24"/>
          <w:szCs w:val="24"/>
          <w:lang w:val="es-ES_tradnl"/>
        </w:rPr>
        <w:t xml:space="preserve">personas que trabajan con ellos, y por otro, </w:t>
      </w:r>
      <w:r>
        <w:rPr>
          <w:sz w:val="24"/>
          <w:szCs w:val="24"/>
          <w:lang w:val="es-ES_tradnl"/>
        </w:rPr>
        <w:t>a</w:t>
      </w:r>
      <w:r w:rsidR="00316DE4">
        <w:rPr>
          <w:sz w:val="24"/>
          <w:szCs w:val="24"/>
          <w:lang w:val="es-ES_tradnl"/>
        </w:rPr>
        <w:t xml:space="preserve"> su</w:t>
      </w:r>
      <w:r w:rsidR="00EC57F6">
        <w:rPr>
          <w:sz w:val="24"/>
          <w:szCs w:val="24"/>
          <w:lang w:val="es-ES_tradnl"/>
        </w:rPr>
        <w:t xml:space="preserve"> alto grado de competitividad en el trabajo</w:t>
      </w:r>
      <w:r w:rsidR="00316DE4">
        <w:rPr>
          <w:sz w:val="24"/>
          <w:szCs w:val="24"/>
          <w:lang w:val="es-ES_tradnl"/>
        </w:rPr>
        <w:t xml:space="preserve"> gracias a</w:t>
      </w:r>
      <w:r w:rsidR="00253262" w:rsidRPr="00253262">
        <w:rPr>
          <w:sz w:val="24"/>
          <w:szCs w:val="24"/>
          <w:lang w:val="es-ES_tradnl"/>
        </w:rPr>
        <w:t xml:space="preserve"> la </w:t>
      </w:r>
      <w:r>
        <w:rPr>
          <w:sz w:val="24"/>
          <w:szCs w:val="24"/>
          <w:lang w:val="es-ES_tradnl"/>
        </w:rPr>
        <w:t xml:space="preserve">formación </w:t>
      </w:r>
      <w:r w:rsidR="00253262" w:rsidRPr="00253262">
        <w:rPr>
          <w:sz w:val="24"/>
          <w:szCs w:val="24"/>
          <w:lang w:val="es-ES_tradnl"/>
        </w:rPr>
        <w:t xml:space="preserve">que </w:t>
      </w:r>
      <w:r w:rsidR="00316DE4">
        <w:rPr>
          <w:sz w:val="24"/>
          <w:szCs w:val="24"/>
          <w:lang w:val="es-ES_tradnl"/>
        </w:rPr>
        <w:t xml:space="preserve">reciben </w:t>
      </w:r>
      <w:r>
        <w:rPr>
          <w:sz w:val="24"/>
          <w:szCs w:val="24"/>
          <w:lang w:val="es-ES_tradnl"/>
        </w:rPr>
        <w:t>en los centros</w:t>
      </w:r>
      <w:r w:rsidR="00253262" w:rsidRPr="00253262">
        <w:rPr>
          <w:sz w:val="24"/>
          <w:szCs w:val="24"/>
          <w:lang w:val="es-ES_tradnl"/>
        </w:rPr>
        <w:t xml:space="preserve">. Por ello, señalan, se produce un impacto social importante, pero para mantenerlo hay que </w:t>
      </w:r>
      <w:r>
        <w:rPr>
          <w:sz w:val="24"/>
          <w:szCs w:val="24"/>
          <w:lang w:val="es-ES_tradnl"/>
        </w:rPr>
        <w:t>asegurar que las plantillas tienen la dimensión óptima</w:t>
      </w:r>
      <w:r w:rsidR="00253262" w:rsidRPr="00253262">
        <w:rPr>
          <w:sz w:val="24"/>
          <w:szCs w:val="24"/>
          <w:lang w:val="es-ES_tradnl"/>
        </w:rPr>
        <w:t>.</w:t>
      </w:r>
      <w:r w:rsidR="007161A9">
        <w:rPr>
          <w:sz w:val="24"/>
          <w:szCs w:val="24"/>
          <w:lang w:val="es-ES_tradnl"/>
        </w:rPr>
        <w:t xml:space="preserve"> En referencia al impacto social, algunos de los gestores consultados matizan que aunque este </w:t>
      </w:r>
      <w:r w:rsidR="003C76A5">
        <w:rPr>
          <w:sz w:val="24"/>
          <w:szCs w:val="24"/>
          <w:lang w:val="es-ES_tradnl"/>
        </w:rPr>
        <w:t>impacto social es</w:t>
      </w:r>
      <w:r w:rsidR="007161A9">
        <w:rPr>
          <w:sz w:val="24"/>
          <w:szCs w:val="24"/>
          <w:lang w:val="es-ES_tradnl"/>
        </w:rPr>
        <w:t xml:space="preserve"> enorme, es importante que los </w:t>
      </w:r>
      <w:r w:rsidR="00BE5DD1">
        <w:rPr>
          <w:sz w:val="24"/>
          <w:szCs w:val="24"/>
          <w:lang w:val="es-ES_tradnl"/>
        </w:rPr>
        <w:t>centros especiales de empleo</w:t>
      </w:r>
      <w:r w:rsidR="007161A9">
        <w:rPr>
          <w:sz w:val="24"/>
          <w:szCs w:val="24"/>
          <w:lang w:val="es-ES_tradnl"/>
        </w:rPr>
        <w:t xml:space="preserve"> busquen una manera de medirlo y objetivarlo—algo que hasta ahora no se ha hecho. </w:t>
      </w:r>
    </w:p>
    <w:p w:rsidR="007161A9" w:rsidRPr="00253262" w:rsidRDefault="007161A9" w:rsidP="005B2F3D">
      <w:pPr>
        <w:spacing w:line="360" w:lineRule="auto"/>
        <w:jc w:val="both"/>
        <w:rPr>
          <w:sz w:val="24"/>
          <w:szCs w:val="24"/>
          <w:lang w:val="es-ES_tradnl"/>
        </w:rPr>
      </w:pPr>
    </w:p>
    <w:p w:rsidR="00253262" w:rsidRDefault="00085598" w:rsidP="005B2F3D">
      <w:pPr>
        <w:spacing w:line="360" w:lineRule="auto"/>
        <w:jc w:val="both"/>
        <w:rPr>
          <w:sz w:val="24"/>
          <w:szCs w:val="24"/>
          <w:lang w:val="es-ES_tradnl"/>
        </w:rPr>
      </w:pPr>
      <w:r>
        <w:rPr>
          <w:sz w:val="24"/>
          <w:szCs w:val="24"/>
          <w:lang w:val="es-ES_tradnl"/>
        </w:rPr>
        <w:t>Otra fortaleza</w:t>
      </w:r>
      <w:r w:rsidR="00253262" w:rsidRPr="00253262">
        <w:rPr>
          <w:sz w:val="24"/>
          <w:szCs w:val="24"/>
          <w:lang w:val="es-ES_tradnl"/>
        </w:rPr>
        <w:t xml:space="preserve">, según algunos </w:t>
      </w:r>
      <w:r w:rsidR="00A95742">
        <w:rPr>
          <w:sz w:val="24"/>
          <w:szCs w:val="24"/>
          <w:lang w:val="es-ES_tradnl"/>
        </w:rPr>
        <w:t>de los gestores consultados</w:t>
      </w:r>
      <w:r w:rsidR="00253262" w:rsidRPr="00253262">
        <w:rPr>
          <w:sz w:val="24"/>
          <w:szCs w:val="24"/>
          <w:lang w:val="es-ES_tradnl"/>
        </w:rPr>
        <w:t xml:space="preserve">, </w:t>
      </w:r>
      <w:r>
        <w:rPr>
          <w:sz w:val="24"/>
          <w:szCs w:val="24"/>
          <w:lang w:val="es-ES_tradnl"/>
        </w:rPr>
        <w:t xml:space="preserve">es </w:t>
      </w:r>
      <w:r w:rsidR="00BB4975">
        <w:rPr>
          <w:sz w:val="24"/>
          <w:szCs w:val="24"/>
          <w:lang w:val="es-ES_tradnl"/>
        </w:rPr>
        <w:t>el la propuesta de valor diferencial de los centros. L</w:t>
      </w:r>
      <w:r w:rsidR="00253262" w:rsidRPr="00253262">
        <w:rPr>
          <w:sz w:val="24"/>
          <w:szCs w:val="24"/>
          <w:lang w:val="es-ES_tradnl"/>
        </w:rPr>
        <w:t>o que les diferenci</w:t>
      </w:r>
      <w:r w:rsidR="00BB4975">
        <w:rPr>
          <w:sz w:val="24"/>
          <w:szCs w:val="24"/>
          <w:lang w:val="es-ES_tradnl"/>
        </w:rPr>
        <w:t>a de otras empresas es que ofrecen un valor añadido</w:t>
      </w:r>
      <w:r w:rsidR="00253262" w:rsidRPr="00253262">
        <w:rPr>
          <w:sz w:val="24"/>
          <w:szCs w:val="24"/>
          <w:lang w:val="es-ES_tradnl"/>
        </w:rPr>
        <w:t xml:space="preserve"> social</w:t>
      </w:r>
      <w:r w:rsidR="00BB4975">
        <w:rPr>
          <w:sz w:val="24"/>
          <w:szCs w:val="24"/>
          <w:lang w:val="es-ES_tradnl"/>
        </w:rPr>
        <w:t>, algo que debería ser muy valorado por los clientes</w:t>
      </w:r>
      <w:r>
        <w:rPr>
          <w:sz w:val="24"/>
          <w:szCs w:val="24"/>
          <w:lang w:val="es-ES_tradnl"/>
        </w:rPr>
        <w:t xml:space="preserve">. Esto les aporta </w:t>
      </w:r>
      <w:r w:rsidR="00253262" w:rsidRPr="00253262">
        <w:rPr>
          <w:sz w:val="24"/>
          <w:szCs w:val="24"/>
          <w:lang w:val="es-ES_tradnl"/>
        </w:rPr>
        <w:t xml:space="preserve">una ventaja competitiva frente a sus competidores. </w:t>
      </w:r>
      <w:r>
        <w:rPr>
          <w:sz w:val="24"/>
          <w:szCs w:val="24"/>
          <w:lang w:val="es-ES_tradnl"/>
        </w:rPr>
        <w:t>Además,</w:t>
      </w:r>
      <w:r w:rsidR="00253262" w:rsidRPr="00253262">
        <w:rPr>
          <w:sz w:val="24"/>
          <w:szCs w:val="24"/>
          <w:lang w:val="es-ES_tradnl"/>
        </w:rPr>
        <w:t xml:space="preserve"> </w:t>
      </w:r>
      <w:r w:rsidR="00BB4975">
        <w:rPr>
          <w:sz w:val="24"/>
          <w:szCs w:val="24"/>
          <w:lang w:val="es-ES_tradnl"/>
        </w:rPr>
        <w:t>ganan</w:t>
      </w:r>
      <w:r w:rsidR="00253262" w:rsidRPr="00253262">
        <w:rPr>
          <w:sz w:val="24"/>
          <w:szCs w:val="24"/>
          <w:lang w:val="es-ES_tradnl"/>
        </w:rPr>
        <w:t xml:space="preserve"> clientes</w:t>
      </w:r>
      <w:r>
        <w:rPr>
          <w:sz w:val="24"/>
          <w:szCs w:val="24"/>
          <w:lang w:val="es-ES_tradnl"/>
        </w:rPr>
        <w:t xml:space="preserve"> frente a sus competidores</w:t>
      </w:r>
      <w:r w:rsidR="00253262" w:rsidRPr="00253262">
        <w:rPr>
          <w:sz w:val="24"/>
          <w:szCs w:val="24"/>
          <w:lang w:val="es-ES_tradnl"/>
        </w:rPr>
        <w:t xml:space="preserve"> por cumplimientos </w:t>
      </w:r>
      <w:r>
        <w:rPr>
          <w:sz w:val="24"/>
          <w:szCs w:val="24"/>
          <w:lang w:val="es-ES_tradnl"/>
        </w:rPr>
        <w:t xml:space="preserve">legales </w:t>
      </w:r>
      <w:r w:rsidR="00253262" w:rsidRPr="00253262">
        <w:rPr>
          <w:sz w:val="24"/>
          <w:szCs w:val="24"/>
          <w:lang w:val="es-ES_tradnl"/>
        </w:rPr>
        <w:t xml:space="preserve">y porque algunas empresas o entidades tienen códigos internos de compra responsable para fomentar el empleo de las personas con discapacidad. </w:t>
      </w:r>
    </w:p>
    <w:p w:rsidR="00253262" w:rsidRPr="00253262" w:rsidRDefault="00253262" w:rsidP="005B2F3D">
      <w:pPr>
        <w:spacing w:line="360" w:lineRule="auto"/>
        <w:jc w:val="both"/>
        <w:rPr>
          <w:sz w:val="24"/>
          <w:szCs w:val="24"/>
          <w:lang w:val="es-ES_tradnl"/>
        </w:rPr>
      </w:pPr>
    </w:p>
    <w:p w:rsidR="007161A9" w:rsidRPr="007161A9" w:rsidRDefault="00253262" w:rsidP="007161A9">
      <w:pPr>
        <w:spacing w:line="360" w:lineRule="auto"/>
        <w:jc w:val="both"/>
        <w:rPr>
          <w:sz w:val="24"/>
          <w:szCs w:val="24"/>
          <w:lang w:val="es-ES_tradnl"/>
        </w:rPr>
      </w:pPr>
      <w:r w:rsidRPr="00253262">
        <w:rPr>
          <w:sz w:val="24"/>
          <w:szCs w:val="24"/>
          <w:lang w:val="es-ES_tradnl"/>
        </w:rPr>
        <w:t xml:space="preserve">Existe más desacuerdo entre los </w:t>
      </w:r>
      <w:r w:rsidR="00BE5DD1">
        <w:rPr>
          <w:sz w:val="24"/>
          <w:szCs w:val="24"/>
          <w:lang w:val="es-ES_tradnl"/>
        </w:rPr>
        <w:t>centros especiales de empleo</w:t>
      </w:r>
      <w:r w:rsidRPr="00253262">
        <w:rPr>
          <w:sz w:val="24"/>
          <w:szCs w:val="24"/>
          <w:lang w:val="es-ES_tradnl"/>
        </w:rPr>
        <w:t xml:space="preserve"> en cuanto a su solidez financiera. Aunque </w:t>
      </w:r>
      <w:r w:rsidR="00BB4975">
        <w:rPr>
          <w:sz w:val="24"/>
          <w:szCs w:val="24"/>
          <w:lang w:val="es-ES_tradnl"/>
        </w:rPr>
        <w:t xml:space="preserve">parte de los gestores </w:t>
      </w:r>
      <w:r w:rsidRPr="00253262">
        <w:rPr>
          <w:sz w:val="24"/>
          <w:szCs w:val="24"/>
          <w:lang w:val="es-ES_tradnl"/>
        </w:rPr>
        <w:t xml:space="preserve">señalan que </w:t>
      </w:r>
      <w:r w:rsidR="00BB4975">
        <w:rPr>
          <w:sz w:val="24"/>
          <w:szCs w:val="24"/>
          <w:lang w:val="es-ES_tradnl"/>
        </w:rPr>
        <w:t>son entidades sostenibles económicamente</w:t>
      </w:r>
      <w:r w:rsidR="00085598">
        <w:rPr>
          <w:sz w:val="24"/>
          <w:szCs w:val="24"/>
          <w:lang w:val="es-ES_tradnl"/>
        </w:rPr>
        <w:t xml:space="preserve">, otros no ven </w:t>
      </w:r>
      <w:r w:rsidRPr="00253262">
        <w:rPr>
          <w:sz w:val="24"/>
          <w:szCs w:val="24"/>
          <w:lang w:val="es-ES_tradnl"/>
        </w:rPr>
        <w:t>el área de negocio como uno de lo</w:t>
      </w:r>
      <w:r w:rsidR="00BB4975">
        <w:rPr>
          <w:sz w:val="24"/>
          <w:szCs w:val="24"/>
          <w:lang w:val="es-ES_tradnl"/>
        </w:rPr>
        <w:t>s puntos fuertes del sector, si</w:t>
      </w:r>
      <w:r w:rsidRPr="00253262">
        <w:rPr>
          <w:sz w:val="24"/>
          <w:szCs w:val="24"/>
          <w:lang w:val="es-ES_tradnl"/>
        </w:rPr>
        <w:t xml:space="preserve">no más </w:t>
      </w:r>
      <w:r w:rsidR="00BB4975">
        <w:rPr>
          <w:sz w:val="24"/>
          <w:szCs w:val="24"/>
          <w:lang w:val="es-ES_tradnl"/>
        </w:rPr>
        <w:t xml:space="preserve">bien </w:t>
      </w:r>
      <w:r w:rsidRPr="00253262">
        <w:rPr>
          <w:sz w:val="24"/>
          <w:szCs w:val="24"/>
          <w:lang w:val="es-ES_tradnl"/>
        </w:rPr>
        <w:t xml:space="preserve">como un área en el que hay que trabajar de cara al futuro. Estos </w:t>
      </w:r>
      <w:r w:rsidR="00085598">
        <w:rPr>
          <w:sz w:val="24"/>
          <w:szCs w:val="24"/>
          <w:lang w:val="es-ES_tradnl"/>
        </w:rPr>
        <w:t>últimos c</w:t>
      </w:r>
      <w:r w:rsidRPr="00253262">
        <w:rPr>
          <w:sz w:val="24"/>
          <w:szCs w:val="24"/>
          <w:lang w:val="es-ES_tradnl"/>
        </w:rPr>
        <w:t xml:space="preserve">reen que, para sobrevivir, aparte de la labor social tienen que dar más razones a la gente (como la calidad del producto o servicio) para que compre. </w:t>
      </w:r>
      <w:r w:rsidR="00BB4975">
        <w:rPr>
          <w:sz w:val="24"/>
          <w:szCs w:val="24"/>
          <w:lang w:val="es-ES_tradnl"/>
        </w:rPr>
        <w:t xml:space="preserve">Otros gestores apuntan </w:t>
      </w:r>
      <w:r w:rsidR="007161A9">
        <w:rPr>
          <w:sz w:val="24"/>
          <w:szCs w:val="24"/>
          <w:lang w:val="es-ES_tradnl"/>
        </w:rPr>
        <w:t>que, en el terreno financiero, l</w:t>
      </w:r>
      <w:r w:rsidR="007161A9" w:rsidRPr="007161A9">
        <w:rPr>
          <w:sz w:val="24"/>
          <w:szCs w:val="24"/>
          <w:lang w:val="es-ES_tradnl"/>
        </w:rPr>
        <w:t xml:space="preserve">a contribución y el compromiso de la Administraciones Públicas están siendo importantísimos y que son ellas la que han hecho posible </w:t>
      </w:r>
      <w:r w:rsidR="00BE5DD1">
        <w:rPr>
          <w:sz w:val="24"/>
          <w:szCs w:val="24"/>
          <w:lang w:val="es-ES_tradnl"/>
        </w:rPr>
        <w:t>la</w:t>
      </w:r>
      <w:r w:rsidR="007161A9" w:rsidRPr="007161A9">
        <w:rPr>
          <w:sz w:val="24"/>
          <w:szCs w:val="24"/>
          <w:lang w:val="es-ES_tradnl"/>
        </w:rPr>
        <w:t xml:space="preserve"> solidez financiera en estos tiempos difíciles.</w:t>
      </w:r>
      <w:r w:rsidR="007161A9">
        <w:rPr>
          <w:lang w:val="es-ES_tradnl"/>
        </w:rPr>
        <w:t xml:space="preserve"> </w:t>
      </w:r>
    </w:p>
    <w:p w:rsidR="007161A9" w:rsidRPr="00253262" w:rsidRDefault="007161A9" w:rsidP="005B2F3D">
      <w:pPr>
        <w:spacing w:line="360" w:lineRule="auto"/>
        <w:jc w:val="both"/>
        <w:rPr>
          <w:sz w:val="24"/>
          <w:szCs w:val="24"/>
          <w:lang w:val="es-ES_tradnl"/>
        </w:rPr>
      </w:pPr>
    </w:p>
    <w:p w:rsidR="00253262" w:rsidRDefault="00253262" w:rsidP="005B2F3D">
      <w:pPr>
        <w:spacing w:line="360" w:lineRule="auto"/>
        <w:jc w:val="both"/>
        <w:rPr>
          <w:sz w:val="24"/>
          <w:szCs w:val="24"/>
          <w:lang w:val="es-ES_tradnl"/>
        </w:rPr>
      </w:pPr>
      <w:r w:rsidRPr="00253262">
        <w:rPr>
          <w:sz w:val="24"/>
          <w:szCs w:val="24"/>
          <w:lang w:val="es-ES_tradnl"/>
        </w:rPr>
        <w:t xml:space="preserve">Con respecto al modelo de los </w:t>
      </w:r>
      <w:r w:rsidR="00BB4975">
        <w:rPr>
          <w:sz w:val="24"/>
          <w:szCs w:val="24"/>
          <w:lang w:val="es-ES_tradnl"/>
        </w:rPr>
        <w:t xml:space="preserve">centros </w:t>
      </w:r>
      <w:r w:rsidRPr="00253262">
        <w:rPr>
          <w:sz w:val="24"/>
          <w:szCs w:val="24"/>
          <w:lang w:val="es-ES_tradnl"/>
        </w:rPr>
        <w:t xml:space="preserve">en sí, algunos </w:t>
      </w:r>
      <w:r w:rsidR="00BB4975">
        <w:rPr>
          <w:sz w:val="24"/>
          <w:szCs w:val="24"/>
          <w:lang w:val="es-ES_tradnl"/>
        </w:rPr>
        <w:t xml:space="preserve">gestores </w:t>
      </w:r>
      <w:r w:rsidRPr="00253262">
        <w:rPr>
          <w:sz w:val="24"/>
          <w:szCs w:val="24"/>
          <w:lang w:val="es-ES_tradnl"/>
        </w:rPr>
        <w:t xml:space="preserve">hacen hincapié en que no existe un modelo más efectivo que los </w:t>
      </w:r>
      <w:r w:rsidR="00BE5DD1">
        <w:rPr>
          <w:sz w:val="24"/>
          <w:szCs w:val="24"/>
          <w:lang w:val="es-ES_tradnl"/>
        </w:rPr>
        <w:t>centros especiales de empleo</w:t>
      </w:r>
      <w:r w:rsidRPr="00253262">
        <w:rPr>
          <w:sz w:val="24"/>
          <w:szCs w:val="24"/>
          <w:lang w:val="es-ES_tradnl"/>
        </w:rPr>
        <w:t xml:space="preserve"> para la integración de</w:t>
      </w:r>
      <w:r w:rsidR="00BB4975">
        <w:rPr>
          <w:sz w:val="24"/>
          <w:szCs w:val="24"/>
          <w:lang w:val="es-ES_tradnl"/>
        </w:rPr>
        <w:t xml:space="preserve"> las personas con discapacidad. O</w:t>
      </w:r>
      <w:r w:rsidRPr="00253262">
        <w:rPr>
          <w:sz w:val="24"/>
          <w:szCs w:val="24"/>
          <w:lang w:val="es-ES_tradnl"/>
        </w:rPr>
        <w:t xml:space="preserve"> al menos no </w:t>
      </w:r>
      <w:r w:rsidR="00BB4975">
        <w:rPr>
          <w:sz w:val="24"/>
          <w:szCs w:val="24"/>
          <w:lang w:val="es-ES_tradnl"/>
        </w:rPr>
        <w:t xml:space="preserve">existe ninguno que haya mostrado la misma capacidad de impactar positivamente en la vida de las personas con discapacidad </w:t>
      </w:r>
      <w:r w:rsidR="00BE5DD1">
        <w:rPr>
          <w:sz w:val="24"/>
          <w:szCs w:val="24"/>
          <w:lang w:val="es-ES_tradnl"/>
        </w:rPr>
        <w:t>a través de la creación de empleo, también para los colectivos con más dificultades</w:t>
      </w:r>
      <w:r w:rsidRPr="00253262">
        <w:rPr>
          <w:sz w:val="24"/>
          <w:szCs w:val="24"/>
          <w:lang w:val="es-ES_tradnl"/>
        </w:rPr>
        <w:t>.</w:t>
      </w:r>
    </w:p>
    <w:p w:rsidR="00253262" w:rsidRPr="00253262" w:rsidRDefault="00253262" w:rsidP="005B2F3D">
      <w:pPr>
        <w:spacing w:line="360" w:lineRule="auto"/>
        <w:jc w:val="both"/>
        <w:rPr>
          <w:sz w:val="24"/>
          <w:szCs w:val="24"/>
          <w:lang w:val="es-ES_tradnl"/>
        </w:rPr>
      </w:pPr>
    </w:p>
    <w:p w:rsidR="00253262" w:rsidRDefault="00253262" w:rsidP="005B2F3D">
      <w:pPr>
        <w:spacing w:line="360" w:lineRule="auto"/>
        <w:jc w:val="both"/>
        <w:rPr>
          <w:sz w:val="24"/>
          <w:szCs w:val="24"/>
          <w:lang w:val="es-ES_tradnl"/>
        </w:rPr>
      </w:pPr>
      <w:r w:rsidRPr="00253262">
        <w:rPr>
          <w:sz w:val="24"/>
          <w:szCs w:val="24"/>
          <w:lang w:val="es-ES_tradnl"/>
        </w:rPr>
        <w:t xml:space="preserve">Otra fortaleza que mencionan varios </w:t>
      </w:r>
      <w:r w:rsidR="00BB4975">
        <w:rPr>
          <w:sz w:val="24"/>
          <w:szCs w:val="24"/>
          <w:lang w:val="es-ES_tradnl"/>
        </w:rPr>
        <w:t xml:space="preserve">gestores </w:t>
      </w:r>
      <w:r w:rsidRPr="00253262">
        <w:rPr>
          <w:sz w:val="24"/>
          <w:szCs w:val="24"/>
          <w:lang w:val="es-ES_tradnl"/>
        </w:rPr>
        <w:t xml:space="preserve">es que </w:t>
      </w:r>
      <w:r w:rsidR="00BF1871">
        <w:rPr>
          <w:sz w:val="24"/>
          <w:szCs w:val="24"/>
          <w:lang w:val="es-ES_tradnl"/>
        </w:rPr>
        <w:t>buena parte de ellos</w:t>
      </w:r>
      <w:r w:rsidRPr="00253262">
        <w:rPr>
          <w:sz w:val="24"/>
          <w:szCs w:val="24"/>
          <w:lang w:val="es-ES_tradnl"/>
        </w:rPr>
        <w:t xml:space="preserve"> están integrados o trabajan de la mano de asociaciones que les prestan apoyo. Estas redes asociativas ayudan a</w:t>
      </w:r>
      <w:r w:rsidR="00BB4975">
        <w:rPr>
          <w:sz w:val="24"/>
          <w:szCs w:val="24"/>
          <w:lang w:val="es-ES_tradnl"/>
        </w:rPr>
        <w:t xml:space="preserve"> generar sinergias y</w:t>
      </w:r>
      <w:r w:rsidRPr="00253262">
        <w:rPr>
          <w:sz w:val="24"/>
          <w:szCs w:val="24"/>
          <w:lang w:val="es-ES_tradnl"/>
        </w:rPr>
        <w:t xml:space="preserve"> </w:t>
      </w:r>
      <w:r w:rsidR="00576EED">
        <w:rPr>
          <w:sz w:val="24"/>
          <w:szCs w:val="24"/>
          <w:lang w:val="es-ES_tradnl"/>
        </w:rPr>
        <w:t>a maximizar el impacto</w:t>
      </w:r>
      <w:r w:rsidRPr="00253262">
        <w:rPr>
          <w:sz w:val="24"/>
          <w:szCs w:val="24"/>
          <w:lang w:val="es-ES_tradnl"/>
        </w:rPr>
        <w:t xml:space="preserve">. </w:t>
      </w:r>
    </w:p>
    <w:p w:rsidR="00BB4975" w:rsidRPr="00253262" w:rsidRDefault="00BB4975" w:rsidP="005B2F3D">
      <w:pPr>
        <w:spacing w:line="360" w:lineRule="auto"/>
        <w:jc w:val="both"/>
        <w:rPr>
          <w:sz w:val="24"/>
          <w:szCs w:val="24"/>
          <w:lang w:val="es-ES_tradnl"/>
        </w:rPr>
      </w:pPr>
    </w:p>
    <w:p w:rsidR="00253262" w:rsidRDefault="00253262" w:rsidP="005B2F3D">
      <w:pPr>
        <w:spacing w:line="360" w:lineRule="auto"/>
        <w:jc w:val="both"/>
        <w:rPr>
          <w:sz w:val="24"/>
          <w:szCs w:val="24"/>
          <w:lang w:val="es-ES_tradnl"/>
        </w:rPr>
      </w:pPr>
      <w:r w:rsidRPr="00253262">
        <w:rPr>
          <w:sz w:val="24"/>
          <w:szCs w:val="24"/>
          <w:lang w:val="es-ES_tradnl"/>
        </w:rPr>
        <w:t xml:space="preserve">También se menciona como fortaleza de los </w:t>
      </w:r>
      <w:r w:rsidR="00263316">
        <w:rPr>
          <w:sz w:val="24"/>
          <w:szCs w:val="24"/>
          <w:lang w:val="es-ES_tradnl"/>
        </w:rPr>
        <w:t>CEEs</w:t>
      </w:r>
      <w:r w:rsidRPr="00253262">
        <w:rPr>
          <w:sz w:val="24"/>
          <w:szCs w:val="24"/>
          <w:lang w:val="es-ES_tradnl"/>
        </w:rPr>
        <w:t xml:space="preserve"> de Castilla y León el apoyo </w:t>
      </w:r>
      <w:r w:rsidR="00BB4975">
        <w:rPr>
          <w:sz w:val="24"/>
          <w:szCs w:val="24"/>
          <w:lang w:val="es-ES_tradnl"/>
        </w:rPr>
        <w:t xml:space="preserve">público </w:t>
      </w:r>
      <w:r w:rsidRPr="00253262">
        <w:rPr>
          <w:sz w:val="24"/>
          <w:szCs w:val="24"/>
          <w:lang w:val="es-ES_tradnl"/>
        </w:rPr>
        <w:t xml:space="preserve">que reciben, que </w:t>
      </w:r>
      <w:r w:rsidR="00BB4975">
        <w:rPr>
          <w:sz w:val="24"/>
          <w:szCs w:val="24"/>
          <w:lang w:val="es-ES_tradnl"/>
        </w:rPr>
        <w:t>se percibe como de mayor calidad que</w:t>
      </w:r>
      <w:r w:rsidRPr="00253262">
        <w:rPr>
          <w:sz w:val="24"/>
          <w:szCs w:val="24"/>
          <w:lang w:val="es-ES_tradnl"/>
        </w:rPr>
        <w:t xml:space="preserve"> el que re</w:t>
      </w:r>
      <w:r w:rsidR="008401E4">
        <w:rPr>
          <w:sz w:val="24"/>
          <w:szCs w:val="24"/>
          <w:lang w:val="es-ES_tradnl"/>
        </w:rPr>
        <w:t>ciben los de otras comunidades.</w:t>
      </w:r>
    </w:p>
    <w:p w:rsidR="004739E0" w:rsidRDefault="004739E0">
      <w:pPr>
        <w:spacing w:line="360" w:lineRule="auto"/>
        <w:jc w:val="both"/>
        <w:rPr>
          <w:sz w:val="24"/>
          <w:szCs w:val="24"/>
          <w:lang w:val="es-ES_tradnl"/>
        </w:rPr>
      </w:pPr>
    </w:p>
    <w:p w:rsidR="00806C22" w:rsidRDefault="007161A9" w:rsidP="005B2F3D">
      <w:pPr>
        <w:spacing w:line="360" w:lineRule="auto"/>
        <w:jc w:val="both"/>
        <w:rPr>
          <w:sz w:val="24"/>
          <w:szCs w:val="24"/>
          <w:lang w:val="es-ES_tradnl"/>
        </w:rPr>
      </w:pPr>
      <w:r>
        <w:rPr>
          <w:sz w:val="24"/>
          <w:szCs w:val="24"/>
          <w:lang w:val="es-ES_tradnl"/>
        </w:rPr>
        <w:t xml:space="preserve">Por último, </w:t>
      </w:r>
      <w:r w:rsidRPr="007161A9">
        <w:rPr>
          <w:sz w:val="24"/>
          <w:szCs w:val="24"/>
          <w:lang w:val="es-ES_tradnl"/>
        </w:rPr>
        <w:t xml:space="preserve">otra fortaleza que destacan </w:t>
      </w:r>
      <w:r w:rsidR="00A4643C">
        <w:rPr>
          <w:sz w:val="24"/>
          <w:szCs w:val="24"/>
          <w:lang w:val="es-ES_tradnl"/>
        </w:rPr>
        <w:t>las personas consultadas</w:t>
      </w:r>
      <w:r w:rsidRPr="007161A9">
        <w:rPr>
          <w:sz w:val="24"/>
          <w:szCs w:val="24"/>
          <w:lang w:val="es-ES_tradnl"/>
        </w:rPr>
        <w:t xml:space="preserve"> es que se han mantenido activos en el entorno rur</w:t>
      </w:r>
      <w:r w:rsidR="008401E4">
        <w:rPr>
          <w:sz w:val="24"/>
          <w:szCs w:val="24"/>
          <w:lang w:val="es-ES_tradnl"/>
        </w:rPr>
        <w:t>al a pesar de las dificultades.</w:t>
      </w:r>
    </w:p>
    <w:p w:rsidR="00806C22" w:rsidRPr="00253262" w:rsidRDefault="00806C22" w:rsidP="005B2F3D">
      <w:pPr>
        <w:spacing w:line="360" w:lineRule="auto"/>
        <w:jc w:val="both"/>
        <w:rPr>
          <w:sz w:val="24"/>
          <w:szCs w:val="24"/>
          <w:lang w:val="es-ES_tradnl"/>
        </w:rPr>
      </w:pPr>
    </w:p>
    <w:p w:rsidR="004739E0" w:rsidRDefault="004739E0" w:rsidP="005B2F3D">
      <w:pPr>
        <w:spacing w:line="360" w:lineRule="auto"/>
        <w:jc w:val="both"/>
        <w:rPr>
          <w:b/>
          <w:szCs w:val="22"/>
          <w:lang w:val="es-ES_tradnl"/>
        </w:rPr>
      </w:pPr>
      <w:r>
        <w:rPr>
          <w:b/>
          <w:szCs w:val="22"/>
          <w:lang w:val="es-ES_tradnl"/>
        </w:rPr>
        <w:t>5</w:t>
      </w:r>
      <w:r w:rsidRPr="00253262">
        <w:rPr>
          <w:b/>
          <w:szCs w:val="22"/>
          <w:lang w:val="es-ES_tradnl"/>
        </w:rPr>
        <w:t xml:space="preserve">. </w:t>
      </w:r>
      <w:r w:rsidR="00C4528F" w:rsidRPr="00C4528F">
        <w:rPr>
          <w:b/>
          <w:szCs w:val="22"/>
          <w:lang w:val="es-ES_tradnl"/>
        </w:rPr>
        <w:t>Indique, del 1 al 10, su grado de acuerdo o desacuerdo con la siguiente afirmación: "Creo que los CEE</w:t>
      </w:r>
      <w:r w:rsidR="00A95742">
        <w:rPr>
          <w:b/>
          <w:szCs w:val="22"/>
          <w:lang w:val="es-ES_tradnl"/>
        </w:rPr>
        <w:t>s</w:t>
      </w:r>
      <w:r w:rsidR="00C4528F" w:rsidRPr="00C4528F">
        <w:rPr>
          <w:b/>
          <w:szCs w:val="22"/>
          <w:lang w:val="es-ES_tradnl"/>
        </w:rPr>
        <w:t xml:space="preserve"> de Castilla y León cuentan con </w:t>
      </w:r>
      <w:r w:rsidR="00A4643C">
        <w:rPr>
          <w:b/>
          <w:szCs w:val="22"/>
          <w:lang w:val="es-ES_tradnl"/>
        </w:rPr>
        <w:t>notables</w:t>
      </w:r>
      <w:r w:rsidR="00C4528F" w:rsidRPr="00C4528F">
        <w:rPr>
          <w:b/>
          <w:szCs w:val="22"/>
          <w:lang w:val="es-ES_tradnl"/>
        </w:rPr>
        <w:t xml:space="preserve"> debilidades que podrían dificultarles continuar siendo en el futuro previsible un modelo eficiente y de alto impacto de integración de las personas con discapacidad." 1 Significa completamente en desacuerdo y 10 completamente de acuerdo.</w:t>
      </w:r>
    </w:p>
    <w:p w:rsidR="00C4528F" w:rsidRDefault="008401E4" w:rsidP="005B2F3D">
      <w:pPr>
        <w:spacing w:line="360" w:lineRule="auto"/>
        <w:ind w:left="-426"/>
        <w:jc w:val="both"/>
        <w:rPr>
          <w:b/>
          <w:szCs w:val="22"/>
          <w:lang w:val="es-ES_tradnl"/>
        </w:rPr>
      </w:pPr>
      <w:r>
        <w:rPr>
          <w:noProof/>
          <w:lang w:eastAsia="es-ES"/>
        </w:rPr>
        <w:drawing>
          <wp:inline distT="0" distB="0" distL="0" distR="0">
            <wp:extent cx="4924425" cy="32289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739E0" w:rsidRPr="004F4483" w:rsidRDefault="004739E0" w:rsidP="005B2F3D">
      <w:pPr>
        <w:spacing w:line="360" w:lineRule="auto"/>
        <w:jc w:val="both"/>
        <w:rPr>
          <w:sz w:val="20"/>
        </w:rPr>
      </w:pPr>
      <w:r w:rsidRPr="004F4483">
        <w:rPr>
          <w:sz w:val="20"/>
        </w:rPr>
        <w:t>Fuente: Elaboración propia</w:t>
      </w:r>
    </w:p>
    <w:p w:rsidR="004739E0" w:rsidRPr="004F4483" w:rsidRDefault="004739E0" w:rsidP="005B2F3D">
      <w:pPr>
        <w:pBdr>
          <w:bottom w:val="single" w:sz="4" w:space="1" w:color="auto"/>
        </w:pBdr>
        <w:spacing w:line="360" w:lineRule="auto"/>
        <w:jc w:val="both"/>
        <w:rPr>
          <w:sz w:val="20"/>
        </w:rPr>
      </w:pPr>
      <w:r>
        <w:rPr>
          <w:sz w:val="20"/>
        </w:rPr>
        <w:t xml:space="preserve">Como se puede ver en el gráfico los </w:t>
      </w:r>
      <w:r w:rsidR="00A95742">
        <w:rPr>
          <w:sz w:val="20"/>
        </w:rPr>
        <w:t>CEEs</w:t>
      </w:r>
      <w:r>
        <w:rPr>
          <w:sz w:val="20"/>
        </w:rPr>
        <w:t xml:space="preserve"> consultados muestran distintos grados de acuerdo con la afirmación, reflejando que algunos </w:t>
      </w:r>
      <w:r w:rsidR="00A95742">
        <w:rPr>
          <w:sz w:val="20"/>
        </w:rPr>
        <w:t>gestores</w:t>
      </w:r>
      <w:r>
        <w:rPr>
          <w:sz w:val="20"/>
        </w:rPr>
        <w:t xml:space="preserve"> creen que los CEE de Cast</w:t>
      </w:r>
      <w:r w:rsidR="00C4528F">
        <w:rPr>
          <w:sz w:val="20"/>
        </w:rPr>
        <w:t xml:space="preserve">illa y León cuentan con debilidades </w:t>
      </w:r>
      <w:r w:rsidR="007F29E4">
        <w:rPr>
          <w:sz w:val="20"/>
        </w:rPr>
        <w:t>que podrían dificultarles conti</w:t>
      </w:r>
      <w:r w:rsidR="00C4528F">
        <w:rPr>
          <w:sz w:val="20"/>
        </w:rPr>
        <w:t>nuar</w:t>
      </w:r>
      <w:r>
        <w:rPr>
          <w:sz w:val="20"/>
        </w:rPr>
        <w:t xml:space="preserve"> siendo en el futuro previsible un modelo eficiente y de alto impacto de integración de las personas con discapacidad; mientras que otros ponen más en duda esa afirmación.</w:t>
      </w:r>
    </w:p>
    <w:p w:rsidR="00253262" w:rsidRDefault="00253262" w:rsidP="005B2F3D">
      <w:pPr>
        <w:spacing w:line="360" w:lineRule="auto"/>
        <w:jc w:val="both"/>
        <w:rPr>
          <w:b/>
          <w:sz w:val="24"/>
          <w:szCs w:val="24"/>
        </w:rPr>
      </w:pPr>
    </w:p>
    <w:p w:rsidR="00FB603A" w:rsidRDefault="007F29E4" w:rsidP="005B2F3D">
      <w:pPr>
        <w:spacing w:line="360" w:lineRule="auto"/>
        <w:jc w:val="both"/>
        <w:rPr>
          <w:b/>
          <w:lang w:val="es-ES_tradnl"/>
        </w:rPr>
      </w:pPr>
      <w:r>
        <w:rPr>
          <w:b/>
          <w:lang w:val="es-ES_tradnl"/>
        </w:rPr>
        <w:t>6</w:t>
      </w:r>
      <w:r w:rsidR="00FB603A" w:rsidRPr="00253262">
        <w:rPr>
          <w:b/>
          <w:lang w:val="es-ES_tradnl"/>
        </w:rPr>
        <w:t xml:space="preserve">. </w:t>
      </w:r>
      <w:r w:rsidR="00FB603A" w:rsidRPr="00FB603A">
        <w:rPr>
          <w:b/>
          <w:lang w:val="es-ES_tradnl"/>
        </w:rPr>
        <w:t xml:space="preserve">¿Cuáles </w:t>
      </w:r>
      <w:r w:rsidR="00FB603A">
        <w:rPr>
          <w:b/>
          <w:lang w:val="es-ES_tradnl"/>
        </w:rPr>
        <w:t>son las principales debilidades</w:t>
      </w:r>
      <w:r w:rsidR="00FB603A" w:rsidRPr="00FB603A">
        <w:rPr>
          <w:b/>
          <w:lang w:val="es-ES_tradnl"/>
        </w:rPr>
        <w:t xml:space="preserve">, a su modo de ver, de los </w:t>
      </w:r>
      <w:r w:rsidR="00263316">
        <w:rPr>
          <w:b/>
          <w:lang w:val="es-ES_tradnl"/>
        </w:rPr>
        <w:t>Centros Especiales de Empleo</w:t>
      </w:r>
      <w:r w:rsidR="00FB603A" w:rsidRPr="00FB603A">
        <w:rPr>
          <w:b/>
          <w:lang w:val="es-ES_tradnl"/>
        </w:rPr>
        <w:t xml:space="preserve"> de Castilla y León? </w:t>
      </w:r>
    </w:p>
    <w:p w:rsidR="00FB603A" w:rsidRPr="00FB603A" w:rsidRDefault="00FB603A" w:rsidP="005B2F3D">
      <w:pPr>
        <w:spacing w:line="360" w:lineRule="auto"/>
        <w:jc w:val="both"/>
        <w:rPr>
          <w:b/>
          <w:sz w:val="24"/>
          <w:szCs w:val="24"/>
          <w:u w:val="single"/>
          <w:lang w:val="es-ES_tradnl"/>
        </w:rPr>
      </w:pPr>
    </w:p>
    <w:p w:rsidR="00FB603A" w:rsidRDefault="00FB603A" w:rsidP="005B2F3D">
      <w:pPr>
        <w:spacing w:line="360" w:lineRule="auto"/>
        <w:jc w:val="both"/>
        <w:rPr>
          <w:sz w:val="24"/>
          <w:szCs w:val="24"/>
          <w:lang w:val="es-ES_tradnl"/>
        </w:rPr>
      </w:pPr>
      <w:r w:rsidRPr="00FB603A">
        <w:rPr>
          <w:sz w:val="24"/>
          <w:szCs w:val="24"/>
          <w:lang w:val="es-ES_tradnl"/>
        </w:rPr>
        <w:t xml:space="preserve">Como bien apuntan algunos de los </w:t>
      </w:r>
      <w:r w:rsidR="009F3FC3">
        <w:rPr>
          <w:sz w:val="24"/>
          <w:szCs w:val="24"/>
          <w:lang w:val="es-ES_tradnl"/>
        </w:rPr>
        <w:t>centros especiales de empleo</w:t>
      </w:r>
      <w:r w:rsidR="009F3FC3" w:rsidRPr="00FB603A">
        <w:rPr>
          <w:sz w:val="24"/>
          <w:szCs w:val="24"/>
          <w:lang w:val="es-ES_tradnl"/>
        </w:rPr>
        <w:t xml:space="preserve"> </w:t>
      </w:r>
      <w:r w:rsidRPr="00FB603A">
        <w:rPr>
          <w:sz w:val="24"/>
          <w:szCs w:val="24"/>
          <w:lang w:val="es-ES_tradnl"/>
        </w:rPr>
        <w:t xml:space="preserve">consultados, algunas debilidades y fortalezas son dos caras de una misma moneda. Una de las fortalezas es su capacidad de generar empleo a través de contratos públicos. Sin embargo, corren el riesgo de perder esos contratos y </w:t>
      </w:r>
      <w:r w:rsidR="009F3FC3">
        <w:rPr>
          <w:sz w:val="24"/>
          <w:szCs w:val="24"/>
          <w:lang w:val="es-ES_tradnl"/>
        </w:rPr>
        <w:t>enfrentarse a dificultades</w:t>
      </w:r>
      <w:r w:rsidRPr="00FB603A">
        <w:rPr>
          <w:sz w:val="24"/>
          <w:szCs w:val="24"/>
          <w:lang w:val="es-ES_tradnl"/>
        </w:rPr>
        <w:t>.</w:t>
      </w:r>
    </w:p>
    <w:p w:rsidR="00FB603A" w:rsidRPr="00FB603A" w:rsidRDefault="00FB603A" w:rsidP="005B2F3D">
      <w:pPr>
        <w:spacing w:line="360" w:lineRule="auto"/>
        <w:jc w:val="both"/>
        <w:rPr>
          <w:sz w:val="24"/>
          <w:szCs w:val="24"/>
          <w:lang w:val="es-ES_tradnl"/>
        </w:rPr>
      </w:pPr>
    </w:p>
    <w:p w:rsidR="00CA2F8A" w:rsidRDefault="00FB603A" w:rsidP="005B2F3D">
      <w:pPr>
        <w:spacing w:line="360" w:lineRule="auto"/>
        <w:jc w:val="both"/>
        <w:rPr>
          <w:sz w:val="24"/>
          <w:szCs w:val="24"/>
          <w:lang w:val="es-ES_tradnl"/>
        </w:rPr>
      </w:pPr>
      <w:r w:rsidRPr="00FB603A">
        <w:rPr>
          <w:sz w:val="24"/>
          <w:szCs w:val="24"/>
          <w:lang w:val="es-ES_tradnl"/>
        </w:rPr>
        <w:t xml:space="preserve">De esta forma, aunque algunos </w:t>
      </w:r>
      <w:r w:rsidR="00576EED">
        <w:rPr>
          <w:sz w:val="24"/>
          <w:szCs w:val="24"/>
          <w:lang w:val="es-ES_tradnl"/>
        </w:rPr>
        <w:t>centros especiales de empleo</w:t>
      </w:r>
      <w:r w:rsidRPr="00FB603A">
        <w:rPr>
          <w:sz w:val="24"/>
          <w:szCs w:val="24"/>
          <w:lang w:val="es-ES_tradnl"/>
        </w:rPr>
        <w:t xml:space="preserve"> consultados destacan </w:t>
      </w:r>
      <w:r w:rsidR="009F3FC3">
        <w:rPr>
          <w:sz w:val="24"/>
          <w:szCs w:val="24"/>
          <w:lang w:val="es-ES_tradnl"/>
        </w:rPr>
        <w:t>el</w:t>
      </w:r>
      <w:r w:rsidRPr="00FB603A">
        <w:rPr>
          <w:sz w:val="24"/>
          <w:szCs w:val="24"/>
          <w:lang w:val="es-ES_tradnl"/>
        </w:rPr>
        <w:t xml:space="preserve"> </w:t>
      </w:r>
      <w:r w:rsidR="00A4643C">
        <w:rPr>
          <w:sz w:val="24"/>
          <w:szCs w:val="24"/>
          <w:lang w:val="es-ES_tradnl"/>
        </w:rPr>
        <w:t xml:space="preserve">apoyo público </w:t>
      </w:r>
      <w:r w:rsidR="00DC6A1E">
        <w:rPr>
          <w:sz w:val="24"/>
          <w:szCs w:val="24"/>
          <w:lang w:val="es-ES_tradnl"/>
        </w:rPr>
        <w:t>como una debilidad del sector</w:t>
      </w:r>
      <w:r w:rsidRPr="00FB603A">
        <w:rPr>
          <w:sz w:val="24"/>
          <w:szCs w:val="24"/>
          <w:lang w:val="es-ES_tradnl"/>
        </w:rPr>
        <w:t xml:space="preserve">, la gran mayoría de ellos coinciden en que su principal debilidad es la falta de competitividad y la dependencia de ayudas externas, de ahí la necesidad que mencionan de profesionalizarse, de buscar la eficiencia y de encontrar una solidez financiera y rentabilidad que les permita perdurar en el tiempo para </w:t>
      </w:r>
      <w:r w:rsidR="00A4643C">
        <w:rPr>
          <w:sz w:val="24"/>
          <w:szCs w:val="24"/>
          <w:lang w:val="es-ES_tradnl"/>
        </w:rPr>
        <w:t>continuar con su labor social</w:t>
      </w:r>
      <w:r w:rsidRPr="00FB603A">
        <w:rPr>
          <w:sz w:val="24"/>
          <w:szCs w:val="24"/>
          <w:lang w:val="es-ES_tradnl"/>
        </w:rPr>
        <w:t xml:space="preserve">. </w:t>
      </w:r>
    </w:p>
    <w:p w:rsidR="00CA2F8A" w:rsidRDefault="00CA2F8A" w:rsidP="005B2F3D">
      <w:pPr>
        <w:spacing w:line="360" w:lineRule="auto"/>
        <w:jc w:val="both"/>
        <w:rPr>
          <w:sz w:val="24"/>
          <w:szCs w:val="24"/>
          <w:lang w:val="es-ES_tradnl"/>
        </w:rPr>
      </w:pPr>
    </w:p>
    <w:p w:rsidR="008B70E0" w:rsidRDefault="008B70E0" w:rsidP="005B2F3D">
      <w:pPr>
        <w:spacing w:line="360" w:lineRule="auto"/>
        <w:jc w:val="both"/>
        <w:rPr>
          <w:sz w:val="24"/>
          <w:szCs w:val="24"/>
          <w:lang w:val="es-ES_tradnl"/>
        </w:rPr>
      </w:pPr>
      <w:r>
        <w:rPr>
          <w:sz w:val="24"/>
          <w:szCs w:val="24"/>
          <w:lang w:val="es-ES_tradnl"/>
        </w:rPr>
        <w:t xml:space="preserve">En </w:t>
      </w:r>
      <w:r w:rsidR="00CA2F8A">
        <w:rPr>
          <w:sz w:val="24"/>
          <w:szCs w:val="24"/>
          <w:lang w:val="es-ES_tradnl"/>
        </w:rPr>
        <w:t>relación al modelo de negocio</w:t>
      </w:r>
      <w:r>
        <w:rPr>
          <w:sz w:val="24"/>
          <w:szCs w:val="24"/>
          <w:lang w:val="es-ES_tradnl"/>
        </w:rPr>
        <w:t xml:space="preserve">, algunos </w:t>
      </w:r>
      <w:r w:rsidR="00CA2F8A">
        <w:rPr>
          <w:sz w:val="24"/>
          <w:szCs w:val="24"/>
          <w:lang w:val="es-ES_tradnl"/>
        </w:rPr>
        <w:t>coinciden en</w:t>
      </w:r>
      <w:r>
        <w:rPr>
          <w:sz w:val="24"/>
          <w:szCs w:val="24"/>
          <w:lang w:val="es-ES_tradnl"/>
        </w:rPr>
        <w:t xml:space="preserve"> que</w:t>
      </w:r>
      <w:r w:rsidR="00CA2F8A">
        <w:rPr>
          <w:sz w:val="24"/>
          <w:szCs w:val="24"/>
          <w:lang w:val="es-ES_tradnl"/>
        </w:rPr>
        <w:t>,</w:t>
      </w:r>
      <w:r>
        <w:rPr>
          <w:sz w:val="24"/>
          <w:szCs w:val="24"/>
          <w:lang w:val="es-ES_tradnl"/>
        </w:rPr>
        <w:t xml:space="preserve"> en este momento, </w:t>
      </w:r>
      <w:r w:rsidRPr="008B70E0">
        <w:rPr>
          <w:sz w:val="24"/>
          <w:szCs w:val="24"/>
          <w:lang w:val="es-ES_tradnl"/>
        </w:rPr>
        <w:t xml:space="preserve">los </w:t>
      </w:r>
      <w:r w:rsidR="009F3FC3">
        <w:rPr>
          <w:sz w:val="24"/>
          <w:szCs w:val="24"/>
          <w:lang w:val="es-ES_tradnl"/>
        </w:rPr>
        <w:t>centros especiales de empleo</w:t>
      </w:r>
      <w:r w:rsidRPr="008B70E0">
        <w:rPr>
          <w:sz w:val="24"/>
          <w:szCs w:val="24"/>
          <w:lang w:val="es-ES_tradnl"/>
        </w:rPr>
        <w:t xml:space="preserve"> son excesivamente conservadores en </w:t>
      </w:r>
      <w:r w:rsidR="009F3FC3">
        <w:rPr>
          <w:sz w:val="24"/>
          <w:szCs w:val="24"/>
          <w:lang w:val="es-ES_tradnl"/>
        </w:rPr>
        <w:t>su enfoque al mercado</w:t>
      </w:r>
      <w:r w:rsidRPr="008B70E0">
        <w:rPr>
          <w:sz w:val="24"/>
          <w:szCs w:val="24"/>
          <w:lang w:val="es-ES_tradnl"/>
        </w:rPr>
        <w:t xml:space="preserve"> y</w:t>
      </w:r>
      <w:r>
        <w:rPr>
          <w:sz w:val="24"/>
          <w:szCs w:val="24"/>
          <w:lang w:val="es-ES_tradnl"/>
        </w:rPr>
        <w:t xml:space="preserve"> el colectivo al que se dedican y que e</w:t>
      </w:r>
      <w:r w:rsidRPr="00CA2F8A">
        <w:rPr>
          <w:sz w:val="24"/>
          <w:szCs w:val="24"/>
          <w:lang w:val="es-ES_tradnl"/>
        </w:rPr>
        <w:t xml:space="preserve">l propio </w:t>
      </w:r>
      <w:r w:rsidR="009F3FC3">
        <w:rPr>
          <w:sz w:val="24"/>
          <w:szCs w:val="24"/>
          <w:lang w:val="es-ES_tradnl"/>
        </w:rPr>
        <w:t>modelo</w:t>
      </w:r>
      <w:r w:rsidR="00A4643C">
        <w:rPr>
          <w:sz w:val="24"/>
          <w:szCs w:val="24"/>
          <w:lang w:val="es-ES_tradnl"/>
        </w:rPr>
        <w:t xml:space="preserve"> tiene que avanzar y</w:t>
      </w:r>
      <w:r w:rsidRPr="00CA2F8A">
        <w:rPr>
          <w:sz w:val="24"/>
          <w:szCs w:val="24"/>
          <w:lang w:val="es-ES_tradnl"/>
        </w:rPr>
        <w:t xml:space="preserve"> </w:t>
      </w:r>
      <w:r w:rsidR="00A4643C">
        <w:rPr>
          <w:sz w:val="24"/>
          <w:szCs w:val="24"/>
          <w:lang w:val="es-ES_tradnl"/>
        </w:rPr>
        <w:t>apostar más por la tecnología</w:t>
      </w:r>
      <w:r w:rsidRPr="00CA2F8A">
        <w:rPr>
          <w:sz w:val="24"/>
          <w:szCs w:val="24"/>
          <w:lang w:val="es-ES_tradnl"/>
        </w:rPr>
        <w:t>.</w:t>
      </w:r>
      <w:r>
        <w:rPr>
          <w:lang w:val="es-ES_tradnl"/>
        </w:rPr>
        <w:t xml:space="preserve"> </w:t>
      </w:r>
    </w:p>
    <w:p w:rsidR="00FB603A" w:rsidRPr="00FB603A" w:rsidRDefault="00FB603A" w:rsidP="005B2F3D">
      <w:pPr>
        <w:spacing w:line="360" w:lineRule="auto"/>
        <w:jc w:val="both"/>
        <w:rPr>
          <w:sz w:val="24"/>
          <w:szCs w:val="24"/>
          <w:lang w:val="es-ES_tradnl"/>
        </w:rPr>
      </w:pPr>
    </w:p>
    <w:p w:rsidR="001E6BD5" w:rsidRDefault="001E6BD5" w:rsidP="001E6BD5">
      <w:pPr>
        <w:spacing w:line="360" w:lineRule="auto"/>
        <w:jc w:val="both"/>
        <w:rPr>
          <w:sz w:val="24"/>
          <w:szCs w:val="24"/>
          <w:lang w:val="es-ES_tradnl"/>
        </w:rPr>
      </w:pPr>
      <w:r>
        <w:rPr>
          <w:sz w:val="24"/>
          <w:szCs w:val="24"/>
          <w:lang w:val="es-ES_tradnl"/>
        </w:rPr>
        <w:t xml:space="preserve">También parecen existir puntos débiles en el ámbito sectorial. </w:t>
      </w:r>
      <w:r w:rsidR="00FB603A" w:rsidRPr="00FB603A">
        <w:rPr>
          <w:sz w:val="24"/>
          <w:szCs w:val="24"/>
          <w:lang w:val="es-ES_tradnl"/>
        </w:rPr>
        <w:t>O</w:t>
      </w:r>
      <w:r w:rsidR="009F3FC3">
        <w:rPr>
          <w:sz w:val="24"/>
          <w:szCs w:val="24"/>
          <w:lang w:val="es-ES_tradnl"/>
        </w:rPr>
        <w:t xml:space="preserve">tro punto de acuerdo entre los </w:t>
      </w:r>
      <w:r w:rsidR="00FB603A" w:rsidRPr="00FB603A">
        <w:rPr>
          <w:sz w:val="24"/>
          <w:szCs w:val="24"/>
          <w:lang w:val="es-ES_tradnl"/>
        </w:rPr>
        <w:t xml:space="preserve">consultados es que son menos flexibles de lo que deberían a la </w:t>
      </w:r>
      <w:r w:rsidR="00FB603A" w:rsidRPr="001E6BD5">
        <w:rPr>
          <w:sz w:val="24"/>
          <w:szCs w:val="24"/>
          <w:lang w:val="es-ES_tradnl"/>
        </w:rPr>
        <w:t xml:space="preserve">hora </w:t>
      </w:r>
      <w:r w:rsidRPr="001E6BD5">
        <w:rPr>
          <w:sz w:val="24"/>
          <w:szCs w:val="24"/>
          <w:lang w:val="es-ES_tradnl"/>
        </w:rPr>
        <w:t xml:space="preserve">de decidir su actividad empresarial y </w:t>
      </w:r>
      <w:r w:rsidR="00FB603A" w:rsidRPr="001E6BD5">
        <w:rPr>
          <w:sz w:val="24"/>
          <w:szCs w:val="24"/>
          <w:lang w:val="es-ES_tradnl"/>
        </w:rPr>
        <w:t xml:space="preserve">de vislumbrar </w:t>
      </w:r>
      <w:r w:rsidR="00A4643C">
        <w:rPr>
          <w:sz w:val="24"/>
          <w:szCs w:val="24"/>
          <w:lang w:val="es-ES_tradnl"/>
        </w:rPr>
        <w:t>nuevas oportunidades de mercado</w:t>
      </w:r>
      <w:r w:rsidRPr="001E6BD5">
        <w:rPr>
          <w:sz w:val="24"/>
          <w:szCs w:val="24"/>
          <w:lang w:val="es-ES_tradnl"/>
        </w:rPr>
        <w:t xml:space="preserve">. Los </w:t>
      </w:r>
      <w:r w:rsidR="009F3FC3">
        <w:rPr>
          <w:sz w:val="24"/>
          <w:szCs w:val="24"/>
          <w:lang w:val="es-ES_tradnl"/>
        </w:rPr>
        <w:t>centros especiales de empleo</w:t>
      </w:r>
      <w:r w:rsidRPr="001E6BD5">
        <w:rPr>
          <w:sz w:val="24"/>
          <w:szCs w:val="24"/>
          <w:lang w:val="es-ES_tradnl"/>
        </w:rPr>
        <w:t xml:space="preserve">, apuntan algunos de los gestores, se centran </w:t>
      </w:r>
      <w:r w:rsidR="00FB603A" w:rsidRPr="001E6BD5">
        <w:rPr>
          <w:sz w:val="24"/>
          <w:szCs w:val="24"/>
          <w:lang w:val="es-ES_tradnl"/>
        </w:rPr>
        <w:t>demasiado en servicios de limpieza, lava</w:t>
      </w:r>
      <w:r w:rsidRPr="001E6BD5">
        <w:rPr>
          <w:sz w:val="24"/>
          <w:szCs w:val="24"/>
          <w:lang w:val="es-ES_tradnl"/>
        </w:rPr>
        <w:t xml:space="preserve">ndería, jardinería, y reciclaje, </w:t>
      </w:r>
      <w:r w:rsidR="009F3FC3">
        <w:rPr>
          <w:sz w:val="24"/>
          <w:szCs w:val="24"/>
          <w:lang w:val="es-ES_tradnl"/>
        </w:rPr>
        <w:t>entre otros</w:t>
      </w:r>
      <w:r w:rsidRPr="001E6BD5">
        <w:rPr>
          <w:sz w:val="24"/>
          <w:szCs w:val="24"/>
          <w:lang w:val="es-ES_tradnl"/>
        </w:rPr>
        <w:t>.</w:t>
      </w:r>
      <w:r w:rsidR="00FB603A" w:rsidRPr="001E6BD5">
        <w:rPr>
          <w:sz w:val="24"/>
          <w:szCs w:val="24"/>
          <w:lang w:val="es-ES_tradnl"/>
        </w:rPr>
        <w:t xml:space="preserve"> </w:t>
      </w:r>
      <w:r w:rsidRPr="001E6BD5">
        <w:rPr>
          <w:sz w:val="24"/>
          <w:szCs w:val="24"/>
          <w:lang w:val="es-ES_tradnl"/>
        </w:rPr>
        <w:t xml:space="preserve">Además, </w:t>
      </w:r>
      <w:r w:rsidR="00BF1871">
        <w:rPr>
          <w:sz w:val="24"/>
          <w:szCs w:val="24"/>
          <w:lang w:val="es-ES_tradnl"/>
        </w:rPr>
        <w:t>un número elevado</w:t>
      </w:r>
      <w:r w:rsidRPr="001E6BD5">
        <w:rPr>
          <w:sz w:val="24"/>
          <w:szCs w:val="24"/>
          <w:lang w:val="es-ES_tradnl"/>
        </w:rPr>
        <w:t xml:space="preserve"> concentran</w:t>
      </w:r>
      <w:r w:rsidR="009F3FC3">
        <w:rPr>
          <w:sz w:val="24"/>
          <w:szCs w:val="24"/>
          <w:lang w:val="es-ES_tradnl"/>
        </w:rPr>
        <w:t xml:space="preserve"> </w:t>
      </w:r>
      <w:r w:rsidRPr="001E6BD5">
        <w:rPr>
          <w:sz w:val="24"/>
          <w:szCs w:val="24"/>
          <w:lang w:val="es-ES_tradnl"/>
        </w:rPr>
        <w:t xml:space="preserve">sus actividades en uno o dos clientes, lo que </w:t>
      </w:r>
      <w:r w:rsidR="009F3FC3">
        <w:rPr>
          <w:sz w:val="24"/>
          <w:szCs w:val="24"/>
          <w:lang w:val="es-ES_tradnl"/>
        </w:rPr>
        <w:t>genera relaciones de dependencia</w:t>
      </w:r>
      <w:r w:rsidRPr="001E6BD5">
        <w:rPr>
          <w:sz w:val="24"/>
          <w:szCs w:val="24"/>
          <w:lang w:val="es-ES_tradnl"/>
        </w:rPr>
        <w:t xml:space="preserve">. </w:t>
      </w:r>
      <w:r>
        <w:rPr>
          <w:sz w:val="24"/>
          <w:szCs w:val="24"/>
          <w:lang w:val="es-ES_tradnl"/>
        </w:rPr>
        <w:t>Estas opiniones</w:t>
      </w:r>
      <w:r w:rsidRPr="001E6BD5">
        <w:rPr>
          <w:sz w:val="24"/>
          <w:szCs w:val="24"/>
          <w:lang w:val="es-ES_tradnl"/>
        </w:rPr>
        <w:t xml:space="preserve"> ponen de manifiesto la necesidad de buscar una ma</w:t>
      </w:r>
      <w:r w:rsidR="008B70E0">
        <w:rPr>
          <w:sz w:val="24"/>
          <w:szCs w:val="24"/>
          <w:lang w:val="es-ES_tradnl"/>
        </w:rPr>
        <w:t>yor diversificación de clientes y de buscar sectores más competitivos.</w:t>
      </w:r>
      <w:r w:rsidRPr="001E6BD5">
        <w:rPr>
          <w:sz w:val="24"/>
          <w:szCs w:val="24"/>
          <w:lang w:val="es-ES_tradnl"/>
        </w:rPr>
        <w:t xml:space="preserve"> </w:t>
      </w:r>
      <w:r w:rsidR="00FB603A" w:rsidRPr="001E6BD5">
        <w:rPr>
          <w:sz w:val="24"/>
          <w:szCs w:val="24"/>
          <w:lang w:val="es-ES_tradnl"/>
        </w:rPr>
        <w:t>El no encontrar el espacio y el sector adecuados para desarrollar sus actividades p</w:t>
      </w:r>
      <w:r>
        <w:rPr>
          <w:sz w:val="24"/>
          <w:szCs w:val="24"/>
          <w:lang w:val="es-ES_tradnl"/>
        </w:rPr>
        <w:t>arece</w:t>
      </w:r>
      <w:r w:rsidR="00FB603A" w:rsidRPr="001E6BD5">
        <w:rPr>
          <w:sz w:val="24"/>
          <w:szCs w:val="24"/>
          <w:lang w:val="es-ES_tradnl"/>
        </w:rPr>
        <w:t xml:space="preserve"> constituir</w:t>
      </w:r>
      <w:r>
        <w:rPr>
          <w:sz w:val="24"/>
          <w:szCs w:val="24"/>
          <w:lang w:val="es-ES_tradnl"/>
        </w:rPr>
        <w:t>, por tanto,</w:t>
      </w:r>
      <w:r w:rsidR="00FB603A" w:rsidRPr="001E6BD5">
        <w:rPr>
          <w:sz w:val="24"/>
          <w:szCs w:val="24"/>
          <w:lang w:val="es-ES_tradnl"/>
        </w:rPr>
        <w:t xml:space="preserve"> una de las principales debilidades. </w:t>
      </w:r>
    </w:p>
    <w:p w:rsidR="001E6BD5" w:rsidRDefault="001E6BD5" w:rsidP="001E6BD5">
      <w:pPr>
        <w:spacing w:line="360" w:lineRule="auto"/>
        <w:jc w:val="both"/>
        <w:rPr>
          <w:sz w:val="24"/>
          <w:szCs w:val="24"/>
          <w:lang w:val="es-ES_tradnl"/>
        </w:rPr>
      </w:pPr>
    </w:p>
    <w:p w:rsidR="00FB603A" w:rsidRDefault="00FB603A" w:rsidP="005B2F3D">
      <w:pPr>
        <w:spacing w:line="360" w:lineRule="auto"/>
        <w:jc w:val="both"/>
        <w:rPr>
          <w:sz w:val="24"/>
          <w:szCs w:val="24"/>
          <w:lang w:val="es-ES_tradnl"/>
        </w:rPr>
      </w:pPr>
      <w:r w:rsidRPr="00FB603A">
        <w:rPr>
          <w:sz w:val="24"/>
          <w:szCs w:val="24"/>
          <w:lang w:val="es-ES_tradnl"/>
        </w:rPr>
        <w:t xml:space="preserve">Algunos </w:t>
      </w:r>
      <w:r w:rsidR="009F3FC3">
        <w:rPr>
          <w:sz w:val="24"/>
          <w:szCs w:val="24"/>
          <w:lang w:val="es-ES_tradnl"/>
        </w:rPr>
        <w:t>centros especiales de empleo</w:t>
      </w:r>
      <w:r w:rsidR="009F3FC3" w:rsidRPr="00FB603A">
        <w:rPr>
          <w:sz w:val="24"/>
          <w:szCs w:val="24"/>
          <w:lang w:val="es-ES_tradnl"/>
        </w:rPr>
        <w:t xml:space="preserve"> </w:t>
      </w:r>
      <w:r w:rsidRPr="00FB603A">
        <w:rPr>
          <w:sz w:val="24"/>
          <w:szCs w:val="24"/>
          <w:lang w:val="es-ES_tradnl"/>
        </w:rPr>
        <w:t xml:space="preserve">resaltan </w:t>
      </w:r>
      <w:r w:rsidR="00DC6A1E">
        <w:rPr>
          <w:sz w:val="24"/>
          <w:szCs w:val="24"/>
          <w:lang w:val="es-ES_tradnl"/>
        </w:rPr>
        <w:t xml:space="preserve">como debilidad </w:t>
      </w:r>
      <w:r w:rsidRPr="00FB603A">
        <w:rPr>
          <w:sz w:val="24"/>
          <w:szCs w:val="24"/>
          <w:lang w:val="es-ES_tradnl"/>
        </w:rPr>
        <w:t xml:space="preserve">las dificultades a las que se enfrentan al integrar a personas con </w:t>
      </w:r>
      <w:r w:rsidR="00A4643C">
        <w:rPr>
          <w:sz w:val="24"/>
          <w:szCs w:val="24"/>
          <w:lang w:val="es-ES_tradnl"/>
        </w:rPr>
        <w:t xml:space="preserve">mayores dificultades, ya que necesitan un apoyo adicional. </w:t>
      </w:r>
      <w:r w:rsidRPr="00FB603A">
        <w:rPr>
          <w:sz w:val="24"/>
          <w:szCs w:val="24"/>
          <w:lang w:val="es-ES_tradnl"/>
        </w:rPr>
        <w:t xml:space="preserve">Por ello </w:t>
      </w:r>
      <w:r w:rsidR="00A4643C">
        <w:rPr>
          <w:sz w:val="24"/>
          <w:szCs w:val="24"/>
          <w:lang w:val="es-ES_tradnl"/>
        </w:rPr>
        <w:t xml:space="preserve">ponen de manifiesto </w:t>
      </w:r>
      <w:r w:rsidRPr="00FB603A">
        <w:rPr>
          <w:sz w:val="24"/>
          <w:szCs w:val="24"/>
          <w:lang w:val="es-ES_tradnl"/>
        </w:rPr>
        <w:t xml:space="preserve">que </w:t>
      </w:r>
      <w:r w:rsidR="009F3FC3">
        <w:rPr>
          <w:sz w:val="24"/>
          <w:szCs w:val="24"/>
          <w:lang w:val="es-ES_tradnl"/>
        </w:rPr>
        <w:t>la colaboración</w:t>
      </w:r>
      <w:r w:rsidRPr="00FB603A">
        <w:rPr>
          <w:sz w:val="24"/>
          <w:szCs w:val="24"/>
          <w:lang w:val="es-ES_tradnl"/>
        </w:rPr>
        <w:t xml:space="preserve"> de la Administración es especialmente relevante en este ámbito.</w:t>
      </w:r>
    </w:p>
    <w:p w:rsidR="00FB603A" w:rsidRPr="00FB603A" w:rsidRDefault="00FB603A" w:rsidP="005B2F3D">
      <w:pPr>
        <w:spacing w:line="360" w:lineRule="auto"/>
        <w:jc w:val="both"/>
        <w:rPr>
          <w:sz w:val="24"/>
          <w:szCs w:val="24"/>
          <w:lang w:val="es-ES_tradnl"/>
        </w:rPr>
      </w:pPr>
    </w:p>
    <w:p w:rsidR="00FB603A" w:rsidRDefault="00FB603A" w:rsidP="005B2F3D">
      <w:pPr>
        <w:spacing w:line="360" w:lineRule="auto"/>
        <w:jc w:val="both"/>
        <w:rPr>
          <w:sz w:val="24"/>
          <w:szCs w:val="24"/>
          <w:lang w:val="es-ES_tradnl"/>
        </w:rPr>
      </w:pPr>
      <w:r w:rsidRPr="00FB603A">
        <w:rPr>
          <w:sz w:val="24"/>
          <w:szCs w:val="24"/>
          <w:lang w:val="es-ES_tradnl"/>
        </w:rPr>
        <w:t xml:space="preserve">Una debilidad o reto importante que mencionan algunos de los </w:t>
      </w:r>
      <w:r w:rsidR="00A95742">
        <w:rPr>
          <w:sz w:val="24"/>
          <w:szCs w:val="24"/>
          <w:lang w:val="es-ES_tradnl"/>
        </w:rPr>
        <w:t>CEEs</w:t>
      </w:r>
      <w:r w:rsidRPr="00FB603A">
        <w:rPr>
          <w:sz w:val="24"/>
          <w:szCs w:val="24"/>
          <w:lang w:val="es-ES_tradnl"/>
        </w:rPr>
        <w:t xml:space="preserve"> consultados tiene que ver con el envejecimiento de la</w:t>
      </w:r>
      <w:r w:rsidR="00A4643C">
        <w:rPr>
          <w:sz w:val="24"/>
          <w:szCs w:val="24"/>
          <w:lang w:val="es-ES_tradnl"/>
        </w:rPr>
        <w:t>s</w:t>
      </w:r>
      <w:r w:rsidRPr="00FB603A">
        <w:rPr>
          <w:sz w:val="24"/>
          <w:szCs w:val="24"/>
          <w:lang w:val="es-ES_tradnl"/>
        </w:rPr>
        <w:t xml:space="preserve"> plantilla</w:t>
      </w:r>
      <w:r w:rsidR="00A4643C">
        <w:rPr>
          <w:sz w:val="24"/>
          <w:szCs w:val="24"/>
          <w:lang w:val="es-ES_tradnl"/>
        </w:rPr>
        <w:t>s</w:t>
      </w:r>
      <w:r w:rsidRPr="00FB603A">
        <w:rPr>
          <w:sz w:val="24"/>
          <w:szCs w:val="24"/>
          <w:lang w:val="es-ES_tradnl"/>
        </w:rPr>
        <w:t xml:space="preserve">. </w:t>
      </w:r>
    </w:p>
    <w:p w:rsidR="009F3FC3" w:rsidRPr="00FB603A" w:rsidRDefault="009F3FC3" w:rsidP="005B2F3D">
      <w:pPr>
        <w:spacing w:line="360" w:lineRule="auto"/>
        <w:jc w:val="both"/>
        <w:rPr>
          <w:sz w:val="24"/>
          <w:szCs w:val="24"/>
          <w:lang w:val="es-ES_tradnl"/>
        </w:rPr>
      </w:pPr>
    </w:p>
    <w:p w:rsidR="00A9366B" w:rsidRDefault="00FB603A" w:rsidP="00A9366B">
      <w:pPr>
        <w:spacing w:line="360" w:lineRule="auto"/>
        <w:jc w:val="both"/>
        <w:rPr>
          <w:sz w:val="24"/>
          <w:szCs w:val="24"/>
          <w:lang w:val="es-ES_tradnl"/>
        </w:rPr>
      </w:pPr>
      <w:r w:rsidRPr="00FB603A">
        <w:rPr>
          <w:sz w:val="24"/>
          <w:szCs w:val="24"/>
          <w:lang w:val="es-ES_tradnl"/>
        </w:rPr>
        <w:t xml:space="preserve">Aunque siempre se habla de la reserva de la contratación pública como una de las principales fortalezas del sector, algunos </w:t>
      </w:r>
      <w:r w:rsidR="009F3FC3">
        <w:rPr>
          <w:sz w:val="24"/>
          <w:szCs w:val="24"/>
          <w:lang w:val="es-ES_tradnl"/>
        </w:rPr>
        <w:t>centros especiales de empleo</w:t>
      </w:r>
      <w:r w:rsidRPr="00FB603A">
        <w:rPr>
          <w:sz w:val="24"/>
          <w:szCs w:val="24"/>
          <w:lang w:val="es-ES_tradnl"/>
        </w:rPr>
        <w:t xml:space="preserve"> apuntan a que también esconde algunos retos. </w:t>
      </w:r>
      <w:r w:rsidR="00A4643C">
        <w:rPr>
          <w:sz w:val="24"/>
          <w:szCs w:val="24"/>
          <w:lang w:val="es-ES_tradnl"/>
        </w:rPr>
        <w:t>A</w:t>
      </w:r>
      <w:r w:rsidRPr="00FB603A">
        <w:rPr>
          <w:sz w:val="24"/>
          <w:szCs w:val="24"/>
          <w:lang w:val="es-ES_tradnl"/>
        </w:rPr>
        <w:t>l acceder a co</w:t>
      </w:r>
      <w:r w:rsidR="00920911">
        <w:rPr>
          <w:sz w:val="24"/>
          <w:szCs w:val="24"/>
          <w:lang w:val="es-ES_tradnl"/>
        </w:rPr>
        <w:t>ntratos públicos, se les obliga</w:t>
      </w:r>
      <w:r w:rsidRPr="00FB603A">
        <w:rPr>
          <w:sz w:val="24"/>
          <w:szCs w:val="24"/>
          <w:lang w:val="es-ES_tradnl"/>
        </w:rPr>
        <w:t xml:space="preserve"> a absorber </w:t>
      </w:r>
      <w:r w:rsidR="00920911">
        <w:rPr>
          <w:sz w:val="24"/>
          <w:szCs w:val="24"/>
          <w:lang w:val="es-ES_tradnl"/>
        </w:rPr>
        <w:t>dentro de su propia plantilla a aquellas</w:t>
      </w:r>
      <w:r w:rsidRPr="00FB603A">
        <w:rPr>
          <w:sz w:val="24"/>
          <w:szCs w:val="24"/>
          <w:lang w:val="es-ES_tradnl"/>
        </w:rPr>
        <w:t xml:space="preserve"> personas que ya estaban </w:t>
      </w:r>
      <w:r w:rsidR="009F3FC3">
        <w:rPr>
          <w:sz w:val="24"/>
          <w:szCs w:val="24"/>
          <w:lang w:val="es-ES_tradnl"/>
        </w:rPr>
        <w:t>desarrollando</w:t>
      </w:r>
      <w:r w:rsidRPr="00FB603A">
        <w:rPr>
          <w:sz w:val="24"/>
          <w:szCs w:val="24"/>
          <w:lang w:val="es-ES_tradnl"/>
        </w:rPr>
        <w:t xml:space="preserve"> el servic</w:t>
      </w:r>
      <w:r w:rsidR="00920911">
        <w:rPr>
          <w:sz w:val="24"/>
          <w:szCs w:val="24"/>
          <w:lang w:val="es-ES_tradnl"/>
        </w:rPr>
        <w:t>io</w:t>
      </w:r>
      <w:r w:rsidRPr="00FB603A">
        <w:rPr>
          <w:sz w:val="24"/>
          <w:szCs w:val="24"/>
          <w:lang w:val="es-ES_tradnl"/>
        </w:rPr>
        <w:t xml:space="preserve">. Esta dinámica a veces les perjudica porque puede hacer </w:t>
      </w:r>
      <w:r w:rsidR="009F3FC3">
        <w:rPr>
          <w:sz w:val="24"/>
          <w:szCs w:val="24"/>
          <w:lang w:val="es-ES_tradnl"/>
        </w:rPr>
        <w:t xml:space="preserve">disminuir </w:t>
      </w:r>
      <w:r w:rsidRPr="00FB603A">
        <w:rPr>
          <w:sz w:val="24"/>
          <w:szCs w:val="24"/>
          <w:lang w:val="es-ES_tradnl"/>
        </w:rPr>
        <w:t>los ratios de personas con discapacidad.</w:t>
      </w:r>
    </w:p>
    <w:p w:rsidR="00A9366B" w:rsidRDefault="00A9366B" w:rsidP="00A9366B">
      <w:pPr>
        <w:spacing w:line="360" w:lineRule="auto"/>
        <w:jc w:val="both"/>
        <w:rPr>
          <w:sz w:val="24"/>
          <w:szCs w:val="24"/>
          <w:lang w:val="es-ES_tradnl"/>
        </w:rPr>
      </w:pPr>
    </w:p>
    <w:p w:rsidR="00FB603A" w:rsidRPr="00FB603A" w:rsidRDefault="00FB603A" w:rsidP="005B2F3D">
      <w:pPr>
        <w:spacing w:line="360" w:lineRule="auto"/>
        <w:jc w:val="both"/>
        <w:rPr>
          <w:sz w:val="24"/>
          <w:szCs w:val="24"/>
          <w:lang w:val="es-ES_tradnl"/>
        </w:rPr>
      </w:pPr>
      <w:r w:rsidRPr="00FB603A">
        <w:rPr>
          <w:sz w:val="24"/>
          <w:szCs w:val="24"/>
          <w:lang w:val="es-ES_tradnl"/>
        </w:rPr>
        <w:t xml:space="preserve">Otras debilidades mencionadas en las consultas son la baja remuneración de los empleados y el exceso de dependencia de la subcontratación industrial. </w:t>
      </w:r>
      <w:r w:rsidR="00A9366B">
        <w:rPr>
          <w:sz w:val="24"/>
          <w:szCs w:val="24"/>
          <w:lang w:val="es-ES_tradnl"/>
        </w:rPr>
        <w:t xml:space="preserve">Acerca de la baja remuneración, </w:t>
      </w:r>
      <w:r w:rsidR="00A4643C">
        <w:rPr>
          <w:sz w:val="24"/>
          <w:szCs w:val="24"/>
          <w:lang w:val="es-ES_tradnl"/>
        </w:rPr>
        <w:t xml:space="preserve">señalan que </w:t>
      </w:r>
      <w:r w:rsidR="00A9366B" w:rsidRPr="00E513B6">
        <w:rPr>
          <w:sz w:val="24"/>
          <w:szCs w:val="24"/>
          <w:lang w:val="es-ES_tradnl"/>
        </w:rPr>
        <w:t xml:space="preserve">las diferencias entre los </w:t>
      </w:r>
      <w:r w:rsidR="009F3FC3">
        <w:rPr>
          <w:sz w:val="24"/>
          <w:szCs w:val="24"/>
          <w:lang w:val="es-ES_tradnl"/>
        </w:rPr>
        <w:t>centros especiales de empleo</w:t>
      </w:r>
      <w:r w:rsidR="009F3FC3" w:rsidRPr="00E513B6">
        <w:rPr>
          <w:sz w:val="24"/>
          <w:szCs w:val="24"/>
          <w:lang w:val="es-ES_tradnl"/>
        </w:rPr>
        <w:t xml:space="preserve"> </w:t>
      </w:r>
      <w:r w:rsidR="00A9366B" w:rsidRPr="00E513B6">
        <w:rPr>
          <w:sz w:val="24"/>
          <w:szCs w:val="24"/>
          <w:lang w:val="es-ES_tradnl"/>
        </w:rPr>
        <w:t xml:space="preserve">y las empresas ordinarias deberían acortarse para reflejar </w:t>
      </w:r>
      <w:r w:rsidR="00A4643C">
        <w:rPr>
          <w:sz w:val="24"/>
          <w:szCs w:val="24"/>
          <w:lang w:val="es-ES_tradnl"/>
        </w:rPr>
        <w:t>el compromiso con la convergencia salarial</w:t>
      </w:r>
      <w:r w:rsidR="00A9366B" w:rsidRPr="00E513B6">
        <w:rPr>
          <w:sz w:val="24"/>
          <w:szCs w:val="24"/>
          <w:lang w:val="es-ES_tradnl"/>
        </w:rPr>
        <w:t xml:space="preserve">. </w:t>
      </w:r>
      <w:r w:rsidR="00A9366B">
        <w:rPr>
          <w:sz w:val="24"/>
          <w:szCs w:val="24"/>
          <w:lang w:val="es-ES_tradnl"/>
        </w:rPr>
        <w:t xml:space="preserve">En cuanto al exceso de dependencia de la subcontratación industrial, </w:t>
      </w:r>
      <w:r w:rsidRPr="00FB603A">
        <w:rPr>
          <w:sz w:val="24"/>
          <w:szCs w:val="24"/>
          <w:lang w:val="es-ES_tradnl"/>
        </w:rPr>
        <w:t xml:space="preserve">mencionan que los precios más bajos en países emergentes hacen que la industria </w:t>
      </w:r>
      <w:r w:rsidR="009F3FC3">
        <w:rPr>
          <w:sz w:val="24"/>
          <w:szCs w:val="24"/>
          <w:lang w:val="es-ES_tradnl"/>
        </w:rPr>
        <w:t>se deslocalice</w:t>
      </w:r>
      <w:r w:rsidRPr="00FB603A">
        <w:rPr>
          <w:sz w:val="24"/>
          <w:szCs w:val="24"/>
          <w:lang w:val="es-ES_tradnl"/>
        </w:rPr>
        <w:t>, perjudicándoles.</w:t>
      </w:r>
    </w:p>
    <w:p w:rsidR="00FB603A" w:rsidRDefault="00FB603A" w:rsidP="00FB603A">
      <w:pPr>
        <w:spacing w:line="360" w:lineRule="auto"/>
        <w:rPr>
          <w:b/>
          <w:sz w:val="24"/>
          <w:szCs w:val="24"/>
          <w:lang w:val="es-ES_tradnl"/>
        </w:rPr>
      </w:pPr>
    </w:p>
    <w:p w:rsidR="007F29E4" w:rsidRDefault="007F29E4" w:rsidP="005B2F3D">
      <w:pPr>
        <w:spacing w:line="360" w:lineRule="auto"/>
        <w:jc w:val="both"/>
        <w:rPr>
          <w:b/>
          <w:szCs w:val="22"/>
          <w:lang w:val="es-ES_tradnl"/>
        </w:rPr>
      </w:pPr>
      <w:r w:rsidRPr="007F29E4">
        <w:rPr>
          <w:b/>
          <w:szCs w:val="22"/>
          <w:lang w:val="es-ES_tradnl"/>
        </w:rPr>
        <w:t>7.  Indique, del 1 al 10, su grado de acuerdo o desacuerdo con la siguiente afirmación: "Creo que existen oportunidades significativas para ayudar a los CEE de Castilla y León a aprovechar las fortalezas y corregir las debilidades de tal manera que continúen siendo en el futuro previsible un modelo eficiente y de alto impacto de integración de las personas con discapacidad." 1 Significa completamente en desacuerdo y 10 completamente de acuerdo.</w:t>
      </w:r>
    </w:p>
    <w:p w:rsidR="007F29E4" w:rsidRDefault="008401E4" w:rsidP="005B2F3D">
      <w:pPr>
        <w:spacing w:line="360" w:lineRule="auto"/>
        <w:ind w:left="-426"/>
        <w:jc w:val="both"/>
        <w:rPr>
          <w:b/>
          <w:szCs w:val="22"/>
          <w:lang w:val="es-ES_tradnl"/>
        </w:rPr>
      </w:pPr>
      <w:r>
        <w:rPr>
          <w:noProof/>
          <w:lang w:eastAsia="es-ES"/>
        </w:rPr>
        <w:drawing>
          <wp:inline distT="0" distB="0" distL="0" distR="0">
            <wp:extent cx="4924425" cy="322897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F29E4" w:rsidRPr="004F4483" w:rsidRDefault="007F29E4" w:rsidP="005B2F3D">
      <w:pPr>
        <w:spacing w:line="360" w:lineRule="auto"/>
        <w:jc w:val="both"/>
        <w:rPr>
          <w:sz w:val="20"/>
        </w:rPr>
      </w:pPr>
      <w:r w:rsidRPr="004F4483">
        <w:rPr>
          <w:sz w:val="20"/>
        </w:rPr>
        <w:t>Fuente: Elaboración propia</w:t>
      </w:r>
    </w:p>
    <w:p w:rsidR="007F29E4" w:rsidRPr="004F4483" w:rsidRDefault="007F29E4" w:rsidP="005B2F3D">
      <w:pPr>
        <w:pBdr>
          <w:bottom w:val="single" w:sz="4" w:space="1" w:color="auto"/>
        </w:pBdr>
        <w:spacing w:line="360" w:lineRule="auto"/>
        <w:jc w:val="both"/>
        <w:rPr>
          <w:sz w:val="20"/>
        </w:rPr>
      </w:pPr>
      <w:r>
        <w:rPr>
          <w:sz w:val="20"/>
        </w:rPr>
        <w:t>Como se puede ver en el gráfico</w:t>
      </w:r>
      <w:r w:rsidR="000A3C2A">
        <w:rPr>
          <w:sz w:val="20"/>
        </w:rPr>
        <w:t>,</w:t>
      </w:r>
      <w:r>
        <w:rPr>
          <w:sz w:val="20"/>
        </w:rPr>
        <w:t xml:space="preserve"> los </w:t>
      </w:r>
      <w:r w:rsidR="00A95742">
        <w:rPr>
          <w:sz w:val="20"/>
        </w:rPr>
        <w:t>CEEs</w:t>
      </w:r>
      <w:r>
        <w:rPr>
          <w:sz w:val="20"/>
        </w:rPr>
        <w:t xml:space="preserve"> consultados muestran distintos grad</w:t>
      </w:r>
      <w:r w:rsidR="00C55030">
        <w:rPr>
          <w:sz w:val="20"/>
        </w:rPr>
        <w:t>os de acuerdo con la afirmación,</w:t>
      </w:r>
      <w:r>
        <w:rPr>
          <w:sz w:val="20"/>
        </w:rPr>
        <w:t xml:space="preserve"> reflejando </w:t>
      </w:r>
      <w:r w:rsidR="00C55030">
        <w:rPr>
          <w:sz w:val="20"/>
        </w:rPr>
        <w:t xml:space="preserve">que los </w:t>
      </w:r>
      <w:r w:rsidR="00A95742">
        <w:rPr>
          <w:sz w:val="20"/>
        </w:rPr>
        <w:t>CEEs</w:t>
      </w:r>
      <w:r w:rsidR="00C55030">
        <w:rPr>
          <w:sz w:val="20"/>
        </w:rPr>
        <w:t xml:space="preserve"> difieren bastante en cuanto al grado de oportunidad que creen que existe </w:t>
      </w:r>
      <w:r w:rsidR="000A3C2A">
        <w:rPr>
          <w:sz w:val="20"/>
        </w:rPr>
        <w:t xml:space="preserve">para ayudar a </w:t>
      </w:r>
      <w:r>
        <w:rPr>
          <w:sz w:val="20"/>
        </w:rPr>
        <w:t xml:space="preserve">los CEE de Castilla y León </w:t>
      </w:r>
      <w:r w:rsidR="000A3C2A">
        <w:rPr>
          <w:sz w:val="20"/>
        </w:rPr>
        <w:t>a aprovechar las fortalezas y a corregir</w:t>
      </w:r>
      <w:r w:rsidR="00E366B8">
        <w:rPr>
          <w:sz w:val="20"/>
        </w:rPr>
        <w:t xml:space="preserve"> las debilidades de tal manera que continúen siendo </w:t>
      </w:r>
      <w:r>
        <w:rPr>
          <w:sz w:val="20"/>
        </w:rPr>
        <w:t>en el futuro previsible un modelo eficiente y de alto impacto de integración de</w:t>
      </w:r>
      <w:r w:rsidR="00C44496">
        <w:rPr>
          <w:sz w:val="20"/>
        </w:rPr>
        <w:t xml:space="preserve"> las personas con discapacidad. </w:t>
      </w:r>
    </w:p>
    <w:p w:rsidR="007F29E4" w:rsidRDefault="007F29E4" w:rsidP="005B2F3D">
      <w:pPr>
        <w:spacing w:line="360" w:lineRule="auto"/>
        <w:jc w:val="both"/>
        <w:rPr>
          <w:b/>
          <w:szCs w:val="22"/>
        </w:rPr>
      </w:pPr>
    </w:p>
    <w:p w:rsidR="007F29E4" w:rsidRDefault="007F29E4" w:rsidP="005B2F3D">
      <w:pPr>
        <w:spacing w:line="360" w:lineRule="auto"/>
        <w:jc w:val="both"/>
        <w:rPr>
          <w:b/>
          <w:lang w:val="es-ES_tradnl"/>
        </w:rPr>
      </w:pPr>
      <w:r w:rsidRPr="007F29E4">
        <w:rPr>
          <w:b/>
          <w:lang w:val="es-ES_tradnl"/>
        </w:rPr>
        <w:t xml:space="preserve">8. ¿Cuáles son las principales oportunidades para los </w:t>
      </w:r>
      <w:r w:rsidR="00263316">
        <w:rPr>
          <w:b/>
          <w:lang w:val="es-ES_tradnl"/>
        </w:rPr>
        <w:t>Centros Especiales de Empleo</w:t>
      </w:r>
      <w:r w:rsidRPr="007F29E4">
        <w:rPr>
          <w:b/>
          <w:lang w:val="es-ES_tradnl"/>
        </w:rPr>
        <w:t xml:space="preserve"> de Castilla y León y qué iniciativas sectoriales—impulsadas desde los propios </w:t>
      </w:r>
      <w:r w:rsidR="00A95742">
        <w:rPr>
          <w:b/>
          <w:lang w:val="es-ES_tradnl"/>
        </w:rPr>
        <w:t>CEEs</w:t>
      </w:r>
      <w:r w:rsidRPr="007F29E4">
        <w:rPr>
          <w:b/>
          <w:lang w:val="es-ES_tradnl"/>
        </w:rPr>
        <w:t xml:space="preserve"> o desde la Administración—cabría desarrollar para capturarlas? </w:t>
      </w:r>
    </w:p>
    <w:p w:rsidR="007F29E4" w:rsidRPr="007F29E4" w:rsidRDefault="007F29E4" w:rsidP="005B2F3D">
      <w:pPr>
        <w:spacing w:line="360" w:lineRule="auto"/>
        <w:jc w:val="both"/>
        <w:rPr>
          <w:b/>
          <w:sz w:val="24"/>
          <w:szCs w:val="24"/>
          <w:lang w:val="es-ES_tradnl"/>
        </w:rPr>
      </w:pPr>
    </w:p>
    <w:p w:rsidR="007F29E4" w:rsidRDefault="007F29E4" w:rsidP="005B2F3D">
      <w:pPr>
        <w:spacing w:line="360" w:lineRule="auto"/>
        <w:jc w:val="both"/>
        <w:rPr>
          <w:sz w:val="24"/>
          <w:szCs w:val="24"/>
          <w:lang w:val="es-ES_tradnl"/>
        </w:rPr>
      </w:pPr>
      <w:r w:rsidRPr="007F29E4">
        <w:rPr>
          <w:sz w:val="24"/>
          <w:szCs w:val="24"/>
          <w:lang w:val="es-ES_tradnl"/>
        </w:rPr>
        <w:t>Al se</w:t>
      </w:r>
      <w:r w:rsidR="009F3FC3">
        <w:rPr>
          <w:sz w:val="24"/>
          <w:szCs w:val="24"/>
          <w:lang w:val="es-ES_tradnl"/>
        </w:rPr>
        <w:t xml:space="preserve">r preguntados por oportunidades, </w:t>
      </w:r>
      <w:r w:rsidRPr="007F29E4">
        <w:rPr>
          <w:sz w:val="24"/>
          <w:szCs w:val="24"/>
          <w:lang w:val="es-ES_tradnl"/>
        </w:rPr>
        <w:t>consultados ponen especial énfasis en las iniciativas que la Administración Pública puede impulsar o seguir impulsando para ayudar a consolidar el sector</w:t>
      </w:r>
      <w:r w:rsidR="00A4643C">
        <w:rPr>
          <w:sz w:val="24"/>
          <w:szCs w:val="24"/>
          <w:lang w:val="es-ES_tradnl"/>
        </w:rPr>
        <w:t>. Consideran que la a</w:t>
      </w:r>
      <w:r w:rsidRPr="007F29E4">
        <w:rPr>
          <w:sz w:val="24"/>
          <w:szCs w:val="24"/>
          <w:lang w:val="es-ES_tradnl"/>
        </w:rPr>
        <w:t xml:space="preserve">dministración actúa como paraguas para que los </w:t>
      </w:r>
      <w:r w:rsidR="00A4643C">
        <w:rPr>
          <w:sz w:val="24"/>
          <w:szCs w:val="24"/>
          <w:lang w:val="es-ES_tradnl"/>
        </w:rPr>
        <w:t>centros</w:t>
      </w:r>
      <w:r w:rsidRPr="007F29E4">
        <w:rPr>
          <w:sz w:val="24"/>
          <w:szCs w:val="24"/>
          <w:lang w:val="es-ES_tradnl"/>
        </w:rPr>
        <w:t xml:space="preserve"> funcionen bien y estén tutelados, y que también hace un seguimiento administrativo que es imprescindible para el buen funcionamiento de los </w:t>
      </w:r>
      <w:r w:rsidR="009F3FC3">
        <w:rPr>
          <w:sz w:val="24"/>
          <w:szCs w:val="24"/>
          <w:lang w:val="es-ES_tradnl"/>
        </w:rPr>
        <w:t>centros especiales de empleo</w:t>
      </w:r>
      <w:r w:rsidRPr="007F29E4">
        <w:rPr>
          <w:sz w:val="24"/>
          <w:szCs w:val="24"/>
          <w:lang w:val="es-ES_tradnl"/>
        </w:rPr>
        <w:t xml:space="preserve">. </w:t>
      </w:r>
    </w:p>
    <w:p w:rsidR="007F29E4" w:rsidRPr="007F29E4" w:rsidRDefault="007F29E4" w:rsidP="005B2F3D">
      <w:pPr>
        <w:spacing w:line="360" w:lineRule="auto"/>
        <w:jc w:val="both"/>
        <w:rPr>
          <w:sz w:val="24"/>
          <w:szCs w:val="24"/>
          <w:lang w:val="es-ES_tradnl"/>
        </w:rPr>
      </w:pPr>
    </w:p>
    <w:p w:rsidR="007F29E4" w:rsidRDefault="007F29E4" w:rsidP="005B2F3D">
      <w:pPr>
        <w:spacing w:line="360" w:lineRule="auto"/>
        <w:jc w:val="both"/>
        <w:rPr>
          <w:sz w:val="24"/>
          <w:szCs w:val="24"/>
          <w:lang w:val="es-ES_tradnl"/>
        </w:rPr>
      </w:pPr>
      <w:r w:rsidRPr="007F29E4">
        <w:rPr>
          <w:sz w:val="24"/>
          <w:szCs w:val="24"/>
          <w:lang w:val="es-ES_tradnl"/>
        </w:rPr>
        <w:t>Existen varias áreas donde consideran especialmente importante la labor de la Administración Pública. En primer lugar, l</w:t>
      </w:r>
      <w:r w:rsidR="00A95742">
        <w:rPr>
          <w:sz w:val="24"/>
          <w:szCs w:val="24"/>
          <w:lang w:val="es-ES_tradnl"/>
        </w:rPr>
        <w:t>a mayoría de l</w:t>
      </w:r>
      <w:r w:rsidRPr="007F29E4">
        <w:rPr>
          <w:sz w:val="24"/>
          <w:szCs w:val="24"/>
          <w:lang w:val="es-ES_tradnl"/>
        </w:rPr>
        <w:t xml:space="preserve">os </w:t>
      </w:r>
      <w:r w:rsidR="00A95742">
        <w:rPr>
          <w:sz w:val="24"/>
          <w:szCs w:val="24"/>
          <w:lang w:val="es-ES_tradnl"/>
        </w:rPr>
        <w:t>gestores consultados</w:t>
      </w:r>
      <w:r w:rsidRPr="007F29E4">
        <w:rPr>
          <w:sz w:val="24"/>
          <w:szCs w:val="24"/>
          <w:lang w:val="es-ES_tradnl"/>
        </w:rPr>
        <w:t xml:space="preserve"> consideran que ésta debe primar a los </w:t>
      </w:r>
      <w:r w:rsidR="009F3FC3">
        <w:rPr>
          <w:sz w:val="24"/>
          <w:szCs w:val="24"/>
          <w:lang w:val="es-ES_tradnl"/>
        </w:rPr>
        <w:t>centros especiales de empleo</w:t>
      </w:r>
      <w:r w:rsidRPr="007F29E4">
        <w:rPr>
          <w:sz w:val="24"/>
          <w:szCs w:val="24"/>
          <w:lang w:val="es-ES_tradnl"/>
        </w:rPr>
        <w:t xml:space="preserve"> en los contratos públicos. En </w:t>
      </w:r>
      <w:r w:rsidR="00A95742">
        <w:rPr>
          <w:sz w:val="24"/>
          <w:szCs w:val="24"/>
          <w:lang w:val="es-ES_tradnl"/>
        </w:rPr>
        <w:t>su</w:t>
      </w:r>
      <w:r w:rsidRPr="007F29E4">
        <w:rPr>
          <w:sz w:val="24"/>
          <w:szCs w:val="24"/>
          <w:lang w:val="es-ES_tradnl"/>
        </w:rPr>
        <w:t xml:space="preserve"> opinión, </w:t>
      </w:r>
      <w:r w:rsidR="009F3FC3">
        <w:rPr>
          <w:sz w:val="24"/>
          <w:szCs w:val="24"/>
          <w:lang w:val="es-ES_tradnl"/>
        </w:rPr>
        <w:t>este incentivo</w:t>
      </w:r>
      <w:r w:rsidRPr="007F29E4">
        <w:rPr>
          <w:sz w:val="24"/>
          <w:szCs w:val="24"/>
          <w:lang w:val="es-ES_tradnl"/>
        </w:rPr>
        <w:t xml:space="preserve"> es fundamental </w:t>
      </w:r>
      <w:r w:rsidR="00300EB9">
        <w:rPr>
          <w:sz w:val="24"/>
          <w:szCs w:val="24"/>
          <w:lang w:val="es-ES_tradnl"/>
        </w:rPr>
        <w:t>para continuar con su labor de integración.</w:t>
      </w:r>
    </w:p>
    <w:p w:rsidR="007F29E4" w:rsidRPr="007F29E4" w:rsidRDefault="007F29E4" w:rsidP="005B2F3D">
      <w:pPr>
        <w:spacing w:line="360" w:lineRule="auto"/>
        <w:jc w:val="both"/>
        <w:rPr>
          <w:sz w:val="24"/>
          <w:szCs w:val="24"/>
          <w:lang w:val="es-ES_tradnl"/>
        </w:rPr>
      </w:pPr>
    </w:p>
    <w:p w:rsidR="007F29E4" w:rsidRPr="007F29E4" w:rsidRDefault="007F29E4" w:rsidP="005B2F3D">
      <w:pPr>
        <w:spacing w:line="360" w:lineRule="auto"/>
        <w:jc w:val="both"/>
        <w:rPr>
          <w:sz w:val="24"/>
          <w:szCs w:val="24"/>
          <w:lang w:val="es-ES_tradnl"/>
        </w:rPr>
      </w:pPr>
      <w:r w:rsidRPr="007F29E4">
        <w:rPr>
          <w:sz w:val="24"/>
          <w:szCs w:val="24"/>
          <w:lang w:val="es-ES_tradnl"/>
        </w:rPr>
        <w:t xml:space="preserve">Los </w:t>
      </w:r>
      <w:r w:rsidR="009F3FC3">
        <w:rPr>
          <w:sz w:val="24"/>
          <w:szCs w:val="24"/>
          <w:lang w:val="es-ES_tradnl"/>
        </w:rPr>
        <w:t>centros especiales de empleo</w:t>
      </w:r>
      <w:r w:rsidR="006D57BA">
        <w:rPr>
          <w:sz w:val="24"/>
          <w:szCs w:val="24"/>
          <w:lang w:val="es-ES_tradnl"/>
        </w:rPr>
        <w:t xml:space="preserve"> también</w:t>
      </w:r>
      <w:r w:rsidRPr="007F29E4">
        <w:rPr>
          <w:sz w:val="24"/>
          <w:szCs w:val="24"/>
          <w:lang w:val="es-ES_tradnl"/>
        </w:rPr>
        <w:t xml:space="preserve"> consideran que tiene que haber una apuesta clara por parte de las Administraciones Públicas por el empleo protegido </w:t>
      </w:r>
      <w:r w:rsidR="006D57BA">
        <w:rPr>
          <w:sz w:val="24"/>
          <w:szCs w:val="24"/>
          <w:lang w:val="es-ES_tradnl"/>
        </w:rPr>
        <w:t>por</w:t>
      </w:r>
      <w:r w:rsidRPr="007F29E4">
        <w:rPr>
          <w:sz w:val="24"/>
          <w:szCs w:val="24"/>
          <w:lang w:val="es-ES_tradnl"/>
        </w:rPr>
        <w:t>que ha mostrado</w:t>
      </w:r>
      <w:r w:rsidR="009F3FC3">
        <w:rPr>
          <w:sz w:val="24"/>
          <w:szCs w:val="24"/>
          <w:lang w:val="es-ES_tradnl"/>
        </w:rPr>
        <w:t>, con números,</w:t>
      </w:r>
      <w:r w:rsidRPr="007F29E4">
        <w:rPr>
          <w:sz w:val="24"/>
          <w:szCs w:val="24"/>
          <w:lang w:val="es-ES_tradnl"/>
        </w:rPr>
        <w:t xml:space="preserve"> ser el modelo más eficiente de integración de las personas con discapacidad. Sin embargo</w:t>
      </w:r>
      <w:r w:rsidR="00A95742">
        <w:rPr>
          <w:sz w:val="24"/>
          <w:szCs w:val="24"/>
          <w:lang w:val="es-ES_tradnl"/>
        </w:rPr>
        <w:t>,</w:t>
      </w:r>
      <w:r w:rsidRPr="007F29E4">
        <w:rPr>
          <w:sz w:val="24"/>
          <w:szCs w:val="24"/>
          <w:lang w:val="es-ES_tradnl"/>
        </w:rPr>
        <w:t xml:space="preserve"> </w:t>
      </w:r>
      <w:r w:rsidR="00E513B6">
        <w:rPr>
          <w:sz w:val="24"/>
          <w:szCs w:val="24"/>
          <w:lang w:val="es-ES_tradnl"/>
        </w:rPr>
        <w:t>numerosos</w:t>
      </w:r>
      <w:r w:rsidR="009F3FC3">
        <w:rPr>
          <w:sz w:val="24"/>
          <w:szCs w:val="24"/>
          <w:lang w:val="es-ES_tradnl"/>
        </w:rPr>
        <w:t xml:space="preserve"> centros especiales de empleo</w:t>
      </w:r>
      <w:r w:rsidRPr="007F29E4">
        <w:rPr>
          <w:sz w:val="24"/>
          <w:szCs w:val="24"/>
          <w:lang w:val="es-ES_tradnl"/>
        </w:rPr>
        <w:t xml:space="preserve"> consultados coindicen en que no se debe hacer de los </w:t>
      </w:r>
      <w:r w:rsidR="00300EB9">
        <w:rPr>
          <w:sz w:val="24"/>
          <w:szCs w:val="24"/>
          <w:lang w:val="es-ES_tradnl"/>
        </w:rPr>
        <w:t>centros</w:t>
      </w:r>
      <w:r w:rsidRPr="007F29E4">
        <w:rPr>
          <w:sz w:val="24"/>
          <w:szCs w:val="24"/>
          <w:lang w:val="es-ES_tradnl"/>
        </w:rPr>
        <w:t xml:space="preserve"> la única herramienta para la integración de las</w:t>
      </w:r>
      <w:r w:rsidR="006D57BA">
        <w:rPr>
          <w:sz w:val="24"/>
          <w:szCs w:val="24"/>
          <w:lang w:val="es-ES_tradnl"/>
        </w:rPr>
        <w:t xml:space="preserve"> personas con discapacidad, </w:t>
      </w:r>
      <w:r w:rsidR="00300EB9">
        <w:rPr>
          <w:sz w:val="24"/>
          <w:szCs w:val="24"/>
          <w:lang w:val="es-ES_tradnl"/>
        </w:rPr>
        <w:t>que también deben tener más espacio en la empresa ordinaria</w:t>
      </w:r>
      <w:r w:rsidRPr="007F29E4">
        <w:rPr>
          <w:sz w:val="24"/>
          <w:szCs w:val="24"/>
          <w:lang w:val="es-ES_tradnl"/>
        </w:rPr>
        <w:t>.</w:t>
      </w:r>
      <w:r w:rsidR="00BE0329">
        <w:rPr>
          <w:sz w:val="24"/>
          <w:szCs w:val="24"/>
          <w:lang w:val="es-ES_tradnl"/>
        </w:rPr>
        <w:t xml:space="preserve"> Los gestores coinciden en que </w:t>
      </w:r>
      <w:r w:rsidRPr="007F29E4">
        <w:rPr>
          <w:sz w:val="24"/>
          <w:szCs w:val="24"/>
          <w:lang w:val="es-ES_tradnl"/>
        </w:rPr>
        <w:t>la Administración también puede jugar un papel importante</w:t>
      </w:r>
      <w:r w:rsidR="00BE0329">
        <w:rPr>
          <w:sz w:val="24"/>
          <w:szCs w:val="24"/>
          <w:lang w:val="es-ES_tradnl"/>
        </w:rPr>
        <w:t xml:space="preserve"> en este terreno</w:t>
      </w:r>
      <w:r w:rsidRPr="007F29E4">
        <w:rPr>
          <w:sz w:val="24"/>
          <w:szCs w:val="24"/>
          <w:lang w:val="es-ES_tradnl"/>
        </w:rPr>
        <w:t xml:space="preserve">, potenciando la integración de personas con discapacidad y </w:t>
      </w:r>
      <w:r w:rsidR="00BE0329">
        <w:rPr>
          <w:sz w:val="24"/>
          <w:szCs w:val="24"/>
          <w:lang w:val="es-ES_tradnl"/>
        </w:rPr>
        <w:t>vigilando</w:t>
      </w:r>
      <w:r w:rsidR="009F3FC3">
        <w:rPr>
          <w:sz w:val="24"/>
          <w:szCs w:val="24"/>
          <w:lang w:val="es-ES_tradnl"/>
        </w:rPr>
        <w:t xml:space="preserve"> </w:t>
      </w:r>
      <w:r w:rsidRPr="007F29E4">
        <w:rPr>
          <w:sz w:val="24"/>
          <w:szCs w:val="24"/>
          <w:lang w:val="es-ES_tradnl"/>
        </w:rPr>
        <w:t xml:space="preserve">que la empresa ordinaria </w:t>
      </w:r>
      <w:proofErr w:type="gramStart"/>
      <w:r w:rsidRPr="007F29E4">
        <w:rPr>
          <w:sz w:val="24"/>
          <w:szCs w:val="24"/>
          <w:lang w:val="es-ES_tradnl"/>
        </w:rPr>
        <w:t>cumple</w:t>
      </w:r>
      <w:proofErr w:type="gramEnd"/>
      <w:r w:rsidRPr="007F29E4">
        <w:rPr>
          <w:sz w:val="24"/>
          <w:szCs w:val="24"/>
          <w:lang w:val="es-ES_tradnl"/>
        </w:rPr>
        <w:t xml:space="preserve"> con sus obligaciones legales en lo que se refiere a </w:t>
      </w:r>
      <w:r w:rsidR="00300EB9">
        <w:rPr>
          <w:sz w:val="24"/>
          <w:szCs w:val="24"/>
          <w:lang w:val="es-ES_tradnl"/>
        </w:rPr>
        <w:t>las cuotas y las medidas alternativas</w:t>
      </w:r>
      <w:r w:rsidRPr="007F29E4">
        <w:rPr>
          <w:sz w:val="24"/>
          <w:szCs w:val="24"/>
          <w:lang w:val="es-ES_tradnl"/>
        </w:rPr>
        <w:t>.</w:t>
      </w:r>
      <w:r w:rsidR="009F3FC3">
        <w:rPr>
          <w:sz w:val="24"/>
          <w:szCs w:val="24"/>
          <w:lang w:val="es-ES_tradnl"/>
        </w:rPr>
        <w:t xml:space="preserve"> </w:t>
      </w:r>
      <w:r w:rsidR="00BE0329">
        <w:rPr>
          <w:sz w:val="24"/>
          <w:szCs w:val="24"/>
          <w:lang w:val="es-ES_tradnl"/>
        </w:rPr>
        <w:t xml:space="preserve"> </w:t>
      </w:r>
    </w:p>
    <w:p w:rsidR="007F29E4" w:rsidRPr="007F29E4" w:rsidRDefault="007F29E4" w:rsidP="005B2F3D">
      <w:pPr>
        <w:spacing w:line="360" w:lineRule="auto"/>
        <w:jc w:val="both"/>
        <w:rPr>
          <w:sz w:val="24"/>
          <w:szCs w:val="24"/>
          <w:lang w:val="es-ES_tradnl"/>
        </w:rPr>
      </w:pPr>
    </w:p>
    <w:p w:rsidR="002E0102" w:rsidRDefault="007F29E4" w:rsidP="005B2F3D">
      <w:pPr>
        <w:spacing w:line="360" w:lineRule="auto"/>
        <w:jc w:val="both"/>
        <w:rPr>
          <w:sz w:val="24"/>
          <w:szCs w:val="24"/>
          <w:lang w:val="es-ES_tradnl"/>
        </w:rPr>
      </w:pPr>
      <w:r w:rsidRPr="007F29E4">
        <w:rPr>
          <w:sz w:val="24"/>
          <w:szCs w:val="24"/>
          <w:lang w:val="es-ES_tradnl"/>
        </w:rPr>
        <w:t xml:space="preserve">Los </w:t>
      </w:r>
      <w:r w:rsidR="009F3FC3">
        <w:rPr>
          <w:sz w:val="24"/>
          <w:szCs w:val="24"/>
          <w:lang w:val="es-ES_tradnl"/>
        </w:rPr>
        <w:t>centros especiales de empleo</w:t>
      </w:r>
      <w:r w:rsidR="009F3FC3" w:rsidRPr="007F29E4">
        <w:rPr>
          <w:sz w:val="24"/>
          <w:szCs w:val="24"/>
          <w:lang w:val="es-ES_tradnl"/>
        </w:rPr>
        <w:t xml:space="preserve"> </w:t>
      </w:r>
      <w:r w:rsidRPr="007F29E4">
        <w:rPr>
          <w:sz w:val="24"/>
          <w:szCs w:val="24"/>
          <w:lang w:val="es-ES_tradnl"/>
        </w:rPr>
        <w:t xml:space="preserve">consultados mencionan otras oportunidades de apoyo, como acciones que ayuden en la transformación que están llevando a cabo hacia un modelo de gestión más eficiente, rentable y sostenible. </w:t>
      </w:r>
    </w:p>
    <w:p w:rsidR="002E0102" w:rsidRDefault="002E0102" w:rsidP="005B2F3D">
      <w:pPr>
        <w:spacing w:line="360" w:lineRule="auto"/>
        <w:jc w:val="both"/>
        <w:rPr>
          <w:sz w:val="24"/>
          <w:szCs w:val="24"/>
          <w:lang w:val="es-ES_tradnl"/>
        </w:rPr>
      </w:pPr>
    </w:p>
    <w:p w:rsidR="007F29E4" w:rsidRDefault="007F29E4" w:rsidP="005B2F3D">
      <w:pPr>
        <w:spacing w:line="360" w:lineRule="auto"/>
        <w:jc w:val="both"/>
        <w:rPr>
          <w:sz w:val="24"/>
          <w:szCs w:val="24"/>
          <w:lang w:val="es-ES_tradnl"/>
        </w:rPr>
      </w:pPr>
      <w:r w:rsidRPr="007F29E4">
        <w:rPr>
          <w:sz w:val="24"/>
          <w:szCs w:val="24"/>
          <w:lang w:val="es-ES_tradnl"/>
        </w:rPr>
        <w:t xml:space="preserve">Otra posible área de apoyo por parte de las Administraciones tiene que ver con </w:t>
      </w:r>
      <w:r w:rsidR="00300EB9">
        <w:rPr>
          <w:sz w:val="24"/>
          <w:szCs w:val="24"/>
          <w:lang w:val="es-ES_tradnl"/>
        </w:rPr>
        <w:t>la percepción pública</w:t>
      </w:r>
      <w:r w:rsidRPr="007F29E4">
        <w:rPr>
          <w:sz w:val="24"/>
          <w:szCs w:val="24"/>
          <w:lang w:val="es-ES_tradnl"/>
        </w:rPr>
        <w:t>. Por un lado</w:t>
      </w:r>
      <w:r w:rsidR="00320A1B">
        <w:rPr>
          <w:sz w:val="24"/>
          <w:szCs w:val="24"/>
          <w:lang w:val="es-ES_tradnl"/>
        </w:rPr>
        <w:t>, señalan que</w:t>
      </w:r>
      <w:r w:rsidRPr="007F29E4">
        <w:rPr>
          <w:sz w:val="24"/>
          <w:szCs w:val="24"/>
          <w:lang w:val="es-ES_tradnl"/>
        </w:rPr>
        <w:t xml:space="preserve"> tiene que haber una mayor sensibilización de la sociedad con las personas con discapacidad. Por otro lado, </w:t>
      </w:r>
      <w:r w:rsidR="00320A1B">
        <w:rPr>
          <w:sz w:val="24"/>
          <w:szCs w:val="24"/>
          <w:lang w:val="es-ES_tradnl"/>
        </w:rPr>
        <w:t xml:space="preserve">que </w:t>
      </w:r>
      <w:r w:rsidRPr="007F29E4">
        <w:rPr>
          <w:sz w:val="24"/>
          <w:szCs w:val="24"/>
          <w:lang w:val="es-ES_tradnl"/>
        </w:rPr>
        <w:t xml:space="preserve">hay que hacer un </w:t>
      </w:r>
      <w:r w:rsidR="00300EB9">
        <w:rPr>
          <w:sz w:val="24"/>
          <w:szCs w:val="24"/>
          <w:lang w:val="es-ES_tradnl"/>
        </w:rPr>
        <w:t xml:space="preserve">mayor </w:t>
      </w:r>
      <w:r w:rsidRPr="007F29E4">
        <w:rPr>
          <w:sz w:val="24"/>
          <w:szCs w:val="24"/>
          <w:lang w:val="es-ES_tradnl"/>
        </w:rPr>
        <w:t xml:space="preserve">esfuerzo para </w:t>
      </w:r>
      <w:r w:rsidR="00300EB9">
        <w:rPr>
          <w:sz w:val="24"/>
          <w:szCs w:val="24"/>
          <w:lang w:val="es-ES_tradnl"/>
        </w:rPr>
        <w:t>informar a la opinión pública</w:t>
      </w:r>
      <w:r w:rsidR="002E0102">
        <w:rPr>
          <w:sz w:val="24"/>
          <w:szCs w:val="24"/>
          <w:lang w:val="es-ES_tradnl"/>
        </w:rPr>
        <w:t xml:space="preserve"> con respecto a la función social y empresarial de los centros especiales de empleo</w:t>
      </w:r>
      <w:r w:rsidRPr="007F29E4">
        <w:rPr>
          <w:sz w:val="24"/>
          <w:szCs w:val="24"/>
          <w:lang w:val="es-ES_tradnl"/>
        </w:rPr>
        <w:t>.</w:t>
      </w:r>
      <w:r w:rsidR="002E0102">
        <w:rPr>
          <w:sz w:val="24"/>
          <w:szCs w:val="24"/>
          <w:lang w:val="es-ES_tradnl"/>
        </w:rPr>
        <w:t xml:space="preserve"> </w:t>
      </w:r>
      <w:r w:rsidRPr="007F29E4">
        <w:rPr>
          <w:sz w:val="24"/>
          <w:szCs w:val="24"/>
          <w:lang w:val="es-ES_tradnl"/>
        </w:rPr>
        <w:t xml:space="preserve">Según los consultados, </w:t>
      </w:r>
      <w:r w:rsidR="002E0102">
        <w:rPr>
          <w:sz w:val="24"/>
          <w:szCs w:val="24"/>
          <w:lang w:val="es-ES_tradnl"/>
        </w:rPr>
        <w:t>los centros especiales de empleo</w:t>
      </w:r>
      <w:r w:rsidRPr="007F29E4">
        <w:rPr>
          <w:sz w:val="24"/>
          <w:szCs w:val="24"/>
          <w:lang w:val="es-ES_tradnl"/>
        </w:rPr>
        <w:t xml:space="preserve"> </w:t>
      </w:r>
      <w:r w:rsidR="00300EB9">
        <w:rPr>
          <w:sz w:val="24"/>
          <w:szCs w:val="24"/>
          <w:lang w:val="es-ES_tradnl"/>
        </w:rPr>
        <w:t>se enfrentan a ciertos prejuicios</w:t>
      </w:r>
      <w:r w:rsidRPr="007F29E4">
        <w:rPr>
          <w:sz w:val="24"/>
          <w:szCs w:val="24"/>
          <w:lang w:val="es-ES_tradnl"/>
        </w:rPr>
        <w:t xml:space="preserve">. </w:t>
      </w:r>
      <w:r w:rsidR="00300EB9">
        <w:rPr>
          <w:sz w:val="24"/>
          <w:szCs w:val="24"/>
          <w:lang w:val="es-ES_tradnl"/>
        </w:rPr>
        <w:t xml:space="preserve">Fundamentalmente relacionados con la percepción de competencia desleal. </w:t>
      </w:r>
      <w:r w:rsidRPr="007F29E4">
        <w:rPr>
          <w:sz w:val="24"/>
          <w:szCs w:val="24"/>
          <w:lang w:val="es-ES_tradnl"/>
        </w:rPr>
        <w:t xml:space="preserve">En este sentido, hay camino por recorrer para inculcar a la </w:t>
      </w:r>
      <w:r w:rsidR="00300EB9">
        <w:rPr>
          <w:sz w:val="24"/>
          <w:szCs w:val="24"/>
          <w:lang w:val="es-ES_tradnl"/>
        </w:rPr>
        <w:t xml:space="preserve">opinión pública </w:t>
      </w:r>
      <w:r w:rsidRPr="007F29E4">
        <w:rPr>
          <w:sz w:val="24"/>
          <w:szCs w:val="24"/>
          <w:lang w:val="es-ES_tradnl"/>
        </w:rPr>
        <w:t xml:space="preserve">la idea de </w:t>
      </w:r>
      <w:r w:rsidR="00300EB9">
        <w:rPr>
          <w:sz w:val="24"/>
          <w:szCs w:val="24"/>
          <w:lang w:val="es-ES_tradnl"/>
        </w:rPr>
        <w:t xml:space="preserve">que </w:t>
      </w:r>
      <w:r w:rsidRPr="007F29E4">
        <w:rPr>
          <w:sz w:val="24"/>
          <w:szCs w:val="24"/>
          <w:lang w:val="es-ES_tradnl"/>
        </w:rPr>
        <w:t xml:space="preserve">los </w:t>
      </w:r>
      <w:r w:rsidR="002E0102">
        <w:rPr>
          <w:sz w:val="24"/>
          <w:szCs w:val="24"/>
          <w:lang w:val="es-ES_tradnl"/>
        </w:rPr>
        <w:t xml:space="preserve">centros especiales de empleo </w:t>
      </w:r>
      <w:r w:rsidR="00E513B6">
        <w:rPr>
          <w:sz w:val="24"/>
          <w:szCs w:val="24"/>
          <w:lang w:val="es-ES_tradnl"/>
        </w:rPr>
        <w:t>son empresas tan competitivas</w:t>
      </w:r>
      <w:r w:rsidRPr="007F29E4">
        <w:rPr>
          <w:sz w:val="24"/>
          <w:szCs w:val="24"/>
          <w:lang w:val="es-ES_tradnl"/>
        </w:rPr>
        <w:t xml:space="preserve"> como cualquier otra. Sensibilizar a la sociedad en ese aspecto aumentaría</w:t>
      </w:r>
      <w:r w:rsidR="00300EB9">
        <w:rPr>
          <w:sz w:val="24"/>
          <w:szCs w:val="24"/>
          <w:lang w:val="es-ES_tradnl"/>
        </w:rPr>
        <w:t>, además,</w:t>
      </w:r>
      <w:r w:rsidRPr="007F29E4">
        <w:rPr>
          <w:sz w:val="24"/>
          <w:szCs w:val="24"/>
          <w:lang w:val="es-ES_tradnl"/>
        </w:rPr>
        <w:t xml:space="preserve"> las oportunidades profesionales para las personas con discapacidad. </w:t>
      </w:r>
    </w:p>
    <w:p w:rsidR="007F29E4" w:rsidRPr="007F29E4" w:rsidRDefault="007F29E4" w:rsidP="005B2F3D">
      <w:pPr>
        <w:spacing w:line="360" w:lineRule="auto"/>
        <w:jc w:val="both"/>
        <w:rPr>
          <w:sz w:val="24"/>
          <w:szCs w:val="24"/>
          <w:lang w:val="es-ES_tradnl"/>
        </w:rPr>
      </w:pPr>
    </w:p>
    <w:p w:rsidR="00FA4E2D" w:rsidRPr="00FA4E2D" w:rsidRDefault="007F29E4" w:rsidP="00FA4E2D">
      <w:pPr>
        <w:spacing w:line="360" w:lineRule="auto"/>
        <w:jc w:val="both"/>
        <w:rPr>
          <w:sz w:val="24"/>
          <w:szCs w:val="24"/>
          <w:lang w:val="es-ES_tradnl"/>
        </w:rPr>
      </w:pPr>
      <w:r w:rsidRPr="007F29E4">
        <w:rPr>
          <w:sz w:val="24"/>
          <w:szCs w:val="24"/>
          <w:lang w:val="es-ES_tradnl"/>
        </w:rPr>
        <w:t xml:space="preserve">También existen iniciativas que pueden ser impulsadas por los propios </w:t>
      </w:r>
      <w:r w:rsidR="002E0102">
        <w:rPr>
          <w:sz w:val="24"/>
          <w:szCs w:val="24"/>
          <w:lang w:val="es-ES_tradnl"/>
        </w:rPr>
        <w:t>centros especiales de empleo</w:t>
      </w:r>
      <w:r w:rsidRPr="007F29E4">
        <w:rPr>
          <w:sz w:val="24"/>
          <w:szCs w:val="24"/>
          <w:lang w:val="es-ES_tradnl"/>
        </w:rPr>
        <w:t xml:space="preserve"> para consolidar el sector. </w:t>
      </w:r>
      <w:r w:rsidR="0067210F">
        <w:rPr>
          <w:sz w:val="24"/>
          <w:szCs w:val="24"/>
          <w:lang w:val="es-ES_tradnl"/>
        </w:rPr>
        <w:t xml:space="preserve">De hecho, algunos de los gestores consultados señalan que el compromiso político y económico de las Administraciones Públicas hacia los </w:t>
      </w:r>
      <w:r w:rsidR="00300EB9">
        <w:rPr>
          <w:sz w:val="24"/>
          <w:szCs w:val="24"/>
          <w:lang w:val="es-ES_tradnl"/>
        </w:rPr>
        <w:t>centros</w:t>
      </w:r>
      <w:r w:rsidR="0067210F">
        <w:rPr>
          <w:sz w:val="24"/>
          <w:szCs w:val="24"/>
          <w:lang w:val="es-ES_tradnl"/>
        </w:rPr>
        <w:t xml:space="preserve"> ya es e</w:t>
      </w:r>
      <w:r w:rsidR="002E0102">
        <w:rPr>
          <w:sz w:val="24"/>
          <w:szCs w:val="24"/>
          <w:lang w:val="es-ES_tradnl"/>
        </w:rPr>
        <w:t>levado</w:t>
      </w:r>
      <w:r w:rsidR="0067210F">
        <w:rPr>
          <w:sz w:val="24"/>
          <w:szCs w:val="24"/>
          <w:lang w:val="es-ES_tradnl"/>
        </w:rPr>
        <w:t xml:space="preserve"> </w:t>
      </w:r>
      <w:r w:rsidR="00FA4E2D">
        <w:rPr>
          <w:sz w:val="24"/>
          <w:szCs w:val="24"/>
          <w:lang w:val="es-ES_tradnl"/>
        </w:rPr>
        <w:t xml:space="preserve">y </w:t>
      </w:r>
      <w:r w:rsidR="0067210F">
        <w:rPr>
          <w:sz w:val="24"/>
          <w:szCs w:val="24"/>
          <w:lang w:val="es-ES_tradnl"/>
        </w:rPr>
        <w:t xml:space="preserve">que </w:t>
      </w:r>
      <w:r w:rsidR="003C76A5">
        <w:rPr>
          <w:sz w:val="24"/>
          <w:szCs w:val="24"/>
          <w:lang w:val="es-ES_tradnl"/>
        </w:rPr>
        <w:t xml:space="preserve">ahora </w:t>
      </w:r>
      <w:r w:rsidR="0067210F">
        <w:rPr>
          <w:sz w:val="24"/>
          <w:szCs w:val="24"/>
          <w:lang w:val="es-ES_tradnl"/>
        </w:rPr>
        <w:t>es</w:t>
      </w:r>
      <w:r w:rsidR="003C76A5">
        <w:rPr>
          <w:sz w:val="24"/>
          <w:szCs w:val="24"/>
          <w:lang w:val="es-ES_tradnl"/>
        </w:rPr>
        <w:t xml:space="preserve"> </w:t>
      </w:r>
      <w:r w:rsidR="0067210F">
        <w:rPr>
          <w:sz w:val="24"/>
          <w:szCs w:val="24"/>
          <w:lang w:val="es-ES_tradnl"/>
        </w:rPr>
        <w:t xml:space="preserve">responsabilidad de los propios </w:t>
      </w:r>
      <w:r w:rsidR="002E0102">
        <w:rPr>
          <w:sz w:val="24"/>
          <w:szCs w:val="24"/>
          <w:lang w:val="es-ES_tradnl"/>
        </w:rPr>
        <w:t>centros especiales de empleo</w:t>
      </w:r>
      <w:r w:rsidR="0067210F">
        <w:rPr>
          <w:sz w:val="24"/>
          <w:szCs w:val="24"/>
          <w:lang w:val="es-ES_tradnl"/>
        </w:rPr>
        <w:t xml:space="preserve"> aprovechar esas iniciativas</w:t>
      </w:r>
      <w:r w:rsidR="00FA4E2D">
        <w:rPr>
          <w:sz w:val="24"/>
          <w:szCs w:val="24"/>
          <w:lang w:val="es-ES_tradnl"/>
        </w:rPr>
        <w:t xml:space="preserve">. </w:t>
      </w:r>
      <w:r w:rsidR="0067210F">
        <w:rPr>
          <w:sz w:val="24"/>
          <w:szCs w:val="24"/>
          <w:lang w:val="es-ES_tradnl"/>
        </w:rPr>
        <w:t>Señalan, por ejemplo, que no han aprovechado lo suficiente la</w:t>
      </w:r>
      <w:r w:rsidR="00FA4E2D">
        <w:rPr>
          <w:sz w:val="24"/>
          <w:szCs w:val="24"/>
          <w:lang w:val="es-ES_tradnl"/>
        </w:rPr>
        <w:t>s clausulas sociales y la</w:t>
      </w:r>
      <w:r w:rsidR="0067210F">
        <w:rPr>
          <w:sz w:val="24"/>
          <w:szCs w:val="24"/>
          <w:lang w:val="es-ES_tradnl"/>
        </w:rPr>
        <w:t xml:space="preserve"> reserva de la contratación pública</w:t>
      </w:r>
      <w:r w:rsidR="00FA4E2D">
        <w:rPr>
          <w:sz w:val="24"/>
          <w:szCs w:val="24"/>
          <w:lang w:val="es-ES_tradnl"/>
        </w:rPr>
        <w:t>,</w:t>
      </w:r>
      <w:r w:rsidR="0067210F">
        <w:rPr>
          <w:sz w:val="24"/>
          <w:szCs w:val="24"/>
          <w:lang w:val="es-ES_tradnl"/>
        </w:rPr>
        <w:t xml:space="preserve"> y qu</w:t>
      </w:r>
      <w:r w:rsidR="00FA4E2D">
        <w:rPr>
          <w:sz w:val="24"/>
          <w:szCs w:val="24"/>
          <w:lang w:val="es-ES_tradnl"/>
        </w:rPr>
        <w:t>e para aprovechar esas oportunidades</w:t>
      </w:r>
      <w:r w:rsidR="0067210F">
        <w:rPr>
          <w:sz w:val="24"/>
          <w:szCs w:val="24"/>
          <w:lang w:val="es-ES_tradnl"/>
        </w:rPr>
        <w:t xml:space="preserve"> de manera más efectiva </w:t>
      </w:r>
      <w:r w:rsidR="00FA4E2D">
        <w:rPr>
          <w:sz w:val="24"/>
          <w:szCs w:val="24"/>
          <w:lang w:val="es-ES_tradnl"/>
        </w:rPr>
        <w:t>tienen que posicionarse mejor y formar</w:t>
      </w:r>
      <w:r w:rsidR="0067210F">
        <w:rPr>
          <w:sz w:val="24"/>
          <w:szCs w:val="24"/>
          <w:lang w:val="es-ES_tradnl"/>
        </w:rPr>
        <w:t xml:space="preserve"> alianza</w:t>
      </w:r>
      <w:r w:rsidR="00FA4E2D">
        <w:rPr>
          <w:sz w:val="24"/>
          <w:szCs w:val="24"/>
          <w:lang w:val="es-ES_tradnl"/>
        </w:rPr>
        <w:t>s</w:t>
      </w:r>
      <w:r w:rsidR="0067210F">
        <w:rPr>
          <w:sz w:val="24"/>
          <w:szCs w:val="24"/>
          <w:lang w:val="es-ES_tradnl"/>
        </w:rPr>
        <w:t xml:space="preserve"> </w:t>
      </w:r>
      <w:r w:rsidR="00300EB9">
        <w:rPr>
          <w:sz w:val="24"/>
          <w:szCs w:val="24"/>
          <w:lang w:val="es-ES_tradnl"/>
        </w:rPr>
        <w:t>para generar sinergias</w:t>
      </w:r>
      <w:r w:rsidR="00FA4E2D">
        <w:rPr>
          <w:sz w:val="24"/>
          <w:szCs w:val="24"/>
          <w:lang w:val="es-ES_tradnl"/>
        </w:rPr>
        <w:t xml:space="preserve">, lo que supone </w:t>
      </w:r>
      <w:r w:rsidR="00FA4E2D" w:rsidRPr="00FA4E2D">
        <w:rPr>
          <w:sz w:val="24"/>
          <w:szCs w:val="24"/>
          <w:lang w:val="es-ES_tradnl"/>
        </w:rPr>
        <w:t xml:space="preserve">una transformación del modelo </w:t>
      </w:r>
      <w:r w:rsidR="002E0102">
        <w:rPr>
          <w:sz w:val="24"/>
          <w:szCs w:val="24"/>
          <w:lang w:val="es-ES_tradnl"/>
        </w:rPr>
        <w:t>e, incluso, cultural</w:t>
      </w:r>
      <w:r w:rsidR="00FA4E2D" w:rsidRPr="00FA4E2D">
        <w:rPr>
          <w:sz w:val="24"/>
          <w:szCs w:val="24"/>
          <w:lang w:val="es-ES_tradnl"/>
        </w:rPr>
        <w:t>.</w:t>
      </w:r>
      <w:r w:rsidR="00FA4E2D">
        <w:rPr>
          <w:sz w:val="24"/>
          <w:szCs w:val="24"/>
          <w:lang w:val="es-ES_tradnl"/>
        </w:rPr>
        <w:t xml:space="preserve"> Algunas de las </w:t>
      </w:r>
      <w:r w:rsidR="00FA4E2D" w:rsidRPr="00FA4E2D">
        <w:rPr>
          <w:sz w:val="24"/>
          <w:szCs w:val="24"/>
          <w:lang w:val="es-ES_tradnl"/>
        </w:rPr>
        <w:t xml:space="preserve">iniciativas sectoriales que podrían impulsar la actuación de los </w:t>
      </w:r>
      <w:r w:rsidR="002E0102">
        <w:rPr>
          <w:sz w:val="24"/>
          <w:szCs w:val="24"/>
          <w:lang w:val="es-ES_tradnl"/>
        </w:rPr>
        <w:t>centros especiales de empleo</w:t>
      </w:r>
      <w:r w:rsidR="00FA4E2D" w:rsidRPr="00FA4E2D">
        <w:rPr>
          <w:sz w:val="24"/>
          <w:szCs w:val="24"/>
          <w:lang w:val="es-ES_tradnl"/>
        </w:rPr>
        <w:t xml:space="preserve"> y su posicionamiento son la formación asociaciones patronales, alianzas comerciales, o la búsqueda de sinergias en </w:t>
      </w:r>
      <w:r w:rsidR="002E0102">
        <w:rPr>
          <w:sz w:val="24"/>
          <w:szCs w:val="24"/>
          <w:lang w:val="es-ES_tradnl"/>
        </w:rPr>
        <w:t>materia de aprovisionamientos</w:t>
      </w:r>
      <w:r w:rsidR="00FA4E2D" w:rsidRPr="00FA4E2D">
        <w:rPr>
          <w:sz w:val="24"/>
          <w:szCs w:val="24"/>
          <w:lang w:val="es-ES_tradnl"/>
        </w:rPr>
        <w:t>.</w:t>
      </w:r>
      <w:r w:rsidR="00FA4E2D">
        <w:rPr>
          <w:lang w:val="es-ES_tradnl"/>
        </w:rPr>
        <w:t xml:space="preserve">  </w:t>
      </w:r>
    </w:p>
    <w:p w:rsidR="0067210F" w:rsidRDefault="0067210F" w:rsidP="005B2F3D">
      <w:pPr>
        <w:spacing w:line="360" w:lineRule="auto"/>
        <w:jc w:val="both"/>
        <w:rPr>
          <w:sz w:val="24"/>
          <w:szCs w:val="24"/>
          <w:lang w:val="es-ES_tradnl"/>
        </w:rPr>
      </w:pPr>
    </w:p>
    <w:p w:rsidR="002D281A" w:rsidRPr="00114223" w:rsidRDefault="007F29E4" w:rsidP="00114223">
      <w:pPr>
        <w:spacing w:line="360" w:lineRule="auto"/>
        <w:jc w:val="both"/>
        <w:rPr>
          <w:sz w:val="24"/>
          <w:szCs w:val="24"/>
          <w:lang w:val="es-ES_tradnl"/>
        </w:rPr>
      </w:pPr>
      <w:r w:rsidRPr="007F29E4">
        <w:rPr>
          <w:sz w:val="24"/>
          <w:szCs w:val="24"/>
          <w:lang w:val="es-ES_tradnl"/>
        </w:rPr>
        <w:t xml:space="preserve">Los </w:t>
      </w:r>
      <w:r w:rsidR="0067210F">
        <w:rPr>
          <w:sz w:val="24"/>
          <w:szCs w:val="24"/>
          <w:lang w:val="es-ES_tradnl"/>
        </w:rPr>
        <w:t xml:space="preserve">otros </w:t>
      </w:r>
      <w:r w:rsidRPr="007F29E4">
        <w:rPr>
          <w:sz w:val="24"/>
          <w:szCs w:val="24"/>
          <w:lang w:val="es-ES_tradnl"/>
        </w:rPr>
        <w:t xml:space="preserve">dos ámbitos donde los </w:t>
      </w:r>
      <w:r w:rsidR="00300EB9">
        <w:rPr>
          <w:sz w:val="24"/>
          <w:szCs w:val="24"/>
          <w:lang w:val="es-ES_tradnl"/>
        </w:rPr>
        <w:t xml:space="preserve">gestores </w:t>
      </w:r>
      <w:r w:rsidRPr="007F29E4">
        <w:rPr>
          <w:sz w:val="24"/>
          <w:szCs w:val="24"/>
          <w:lang w:val="es-ES_tradnl"/>
        </w:rPr>
        <w:t>consultados dicen que hay mayor oportunidad de trabajo son la profesionalización para que se encuentre el equilibrio entre la eficiencia, la competitividad, la ética y</w:t>
      </w:r>
      <w:r w:rsidR="002E0102">
        <w:rPr>
          <w:sz w:val="24"/>
          <w:szCs w:val="24"/>
          <w:lang w:val="es-ES_tradnl"/>
        </w:rPr>
        <w:t xml:space="preserve"> la sostenibilidad en el modelo</w:t>
      </w:r>
      <w:r w:rsidRPr="007F29E4">
        <w:rPr>
          <w:sz w:val="24"/>
          <w:szCs w:val="24"/>
          <w:lang w:val="es-ES_tradnl"/>
        </w:rPr>
        <w:t xml:space="preserve"> y la elección del sector. Con respecto a este último punto, algunos de los consultados hacen referencia a la capacidad de </w:t>
      </w:r>
      <w:r w:rsidR="002E0102">
        <w:rPr>
          <w:sz w:val="24"/>
          <w:szCs w:val="24"/>
          <w:lang w:val="es-ES_tradnl"/>
        </w:rPr>
        <w:t>crecimiento</w:t>
      </w:r>
      <w:r w:rsidRPr="007F29E4">
        <w:rPr>
          <w:sz w:val="24"/>
          <w:szCs w:val="24"/>
          <w:lang w:val="es-ES_tradnl"/>
        </w:rPr>
        <w:t xml:space="preserve"> de los mismos, señalando que lo ideal sería que los </w:t>
      </w:r>
      <w:r w:rsidR="002E0102">
        <w:rPr>
          <w:sz w:val="24"/>
          <w:szCs w:val="24"/>
          <w:lang w:val="es-ES_tradnl"/>
        </w:rPr>
        <w:t>centros especiales de empleo</w:t>
      </w:r>
      <w:r w:rsidRPr="007F29E4">
        <w:rPr>
          <w:sz w:val="24"/>
          <w:szCs w:val="24"/>
          <w:lang w:val="es-ES_tradnl"/>
        </w:rPr>
        <w:t xml:space="preserve"> pudieran acceder a mercados internacionales, entrando en sectores punteros exportadores españoles. Otros hacen hincapié en que hay que apostar por actividades de la economía verde, dado que promete ser un área de crecimiento.</w:t>
      </w:r>
      <w:r w:rsidR="005B00E1">
        <w:rPr>
          <w:sz w:val="24"/>
          <w:szCs w:val="24"/>
          <w:lang w:val="es-ES_tradnl"/>
        </w:rPr>
        <w:t xml:space="preserve"> </w:t>
      </w:r>
      <w:r w:rsidR="00300EB9">
        <w:rPr>
          <w:sz w:val="24"/>
          <w:szCs w:val="24"/>
          <w:lang w:val="es-ES_tradnl"/>
        </w:rPr>
        <w:t>También</w:t>
      </w:r>
      <w:r w:rsidR="005B00E1">
        <w:rPr>
          <w:sz w:val="24"/>
          <w:szCs w:val="24"/>
          <w:lang w:val="es-ES_tradnl"/>
        </w:rPr>
        <w:t xml:space="preserve"> señalan que hay que hacer un esfuerzo en </w:t>
      </w:r>
      <w:r w:rsidR="005B00E1" w:rsidRPr="00E513B6">
        <w:rPr>
          <w:sz w:val="24"/>
          <w:szCs w:val="24"/>
          <w:lang w:val="es-ES_tradnl"/>
        </w:rPr>
        <w:t>buscar nuevas actividades en los sectores de la tecnología e incorporar ésta en los puestos de trabajo.</w:t>
      </w:r>
      <w:r w:rsidR="00114223">
        <w:rPr>
          <w:sz w:val="24"/>
          <w:szCs w:val="24"/>
          <w:lang w:val="es-ES_tradnl"/>
        </w:rPr>
        <w:t xml:space="preserve"> En la opinión de estos gestores, los </w:t>
      </w:r>
      <w:r w:rsidR="002E0102">
        <w:rPr>
          <w:sz w:val="24"/>
          <w:szCs w:val="24"/>
          <w:lang w:val="es-ES_tradnl"/>
        </w:rPr>
        <w:t xml:space="preserve">centros especiales de empleo </w:t>
      </w:r>
      <w:r w:rsidR="00114223">
        <w:rPr>
          <w:sz w:val="24"/>
          <w:szCs w:val="24"/>
          <w:lang w:val="es-ES_tradnl"/>
        </w:rPr>
        <w:t xml:space="preserve">tienen que ser </w:t>
      </w:r>
      <w:r w:rsidR="002D281A" w:rsidRPr="001F1626">
        <w:rPr>
          <w:sz w:val="24"/>
          <w:szCs w:val="24"/>
          <w:lang w:val="es-ES_tradnl"/>
        </w:rPr>
        <w:t>flexible</w:t>
      </w:r>
      <w:r w:rsidR="00114223" w:rsidRPr="001F1626">
        <w:rPr>
          <w:sz w:val="24"/>
          <w:szCs w:val="24"/>
          <w:lang w:val="es-ES_tradnl"/>
        </w:rPr>
        <w:t>s a la realidad social que le</w:t>
      </w:r>
      <w:r w:rsidR="002D281A" w:rsidRPr="001F1626">
        <w:rPr>
          <w:sz w:val="24"/>
          <w:szCs w:val="24"/>
          <w:lang w:val="es-ES_tradnl"/>
        </w:rPr>
        <w:t>s envuelve</w:t>
      </w:r>
      <w:r w:rsidR="00114223" w:rsidRPr="001F1626">
        <w:rPr>
          <w:sz w:val="24"/>
          <w:szCs w:val="24"/>
          <w:lang w:val="es-ES_tradnl"/>
        </w:rPr>
        <w:t>, lo que</w:t>
      </w:r>
      <w:r w:rsidR="00300EB9">
        <w:rPr>
          <w:sz w:val="24"/>
          <w:szCs w:val="24"/>
          <w:lang w:val="es-ES_tradnl"/>
        </w:rPr>
        <w:t xml:space="preserve"> </w:t>
      </w:r>
      <w:r w:rsidR="00114223">
        <w:rPr>
          <w:sz w:val="24"/>
          <w:szCs w:val="24"/>
          <w:lang w:val="es-ES_tradnl"/>
        </w:rPr>
        <w:t>s</w:t>
      </w:r>
      <w:r w:rsidR="00114223" w:rsidRPr="001F1626">
        <w:rPr>
          <w:sz w:val="24"/>
          <w:szCs w:val="24"/>
          <w:lang w:val="es-ES_tradnl"/>
        </w:rPr>
        <w:t>upone</w:t>
      </w:r>
      <w:r w:rsidR="002D281A" w:rsidRPr="001F1626">
        <w:rPr>
          <w:sz w:val="24"/>
          <w:szCs w:val="24"/>
          <w:lang w:val="es-ES_tradnl"/>
        </w:rPr>
        <w:t xml:space="preserve"> renovarse </w:t>
      </w:r>
      <w:r w:rsidR="00114223" w:rsidRPr="001F1626">
        <w:rPr>
          <w:sz w:val="24"/>
          <w:szCs w:val="24"/>
          <w:lang w:val="es-ES_tradnl"/>
        </w:rPr>
        <w:t>y evolucionar tecnológicamente.</w:t>
      </w:r>
      <w:r w:rsidR="00114223">
        <w:rPr>
          <w:lang w:val="es-ES_tradnl"/>
        </w:rPr>
        <w:t xml:space="preserve"> </w:t>
      </w:r>
    </w:p>
    <w:p w:rsidR="007F29E4" w:rsidRDefault="007F29E4" w:rsidP="005B2F3D">
      <w:pPr>
        <w:spacing w:line="360" w:lineRule="auto"/>
        <w:jc w:val="both"/>
        <w:rPr>
          <w:sz w:val="24"/>
          <w:szCs w:val="24"/>
          <w:lang w:val="es-ES_tradnl"/>
        </w:rPr>
      </w:pPr>
    </w:p>
    <w:p w:rsidR="000D643E" w:rsidRDefault="000D643E" w:rsidP="005B2F3D">
      <w:pPr>
        <w:spacing w:line="360" w:lineRule="auto"/>
        <w:jc w:val="both"/>
        <w:rPr>
          <w:sz w:val="24"/>
          <w:szCs w:val="24"/>
          <w:lang w:val="es-ES_tradnl"/>
        </w:rPr>
      </w:pPr>
      <w:r>
        <w:rPr>
          <w:sz w:val="24"/>
          <w:szCs w:val="24"/>
          <w:lang w:val="es-ES_tradnl"/>
        </w:rPr>
        <w:t>En relación al impacto social</w:t>
      </w:r>
      <w:r w:rsidR="00300EB9">
        <w:rPr>
          <w:sz w:val="24"/>
          <w:szCs w:val="24"/>
          <w:lang w:val="es-ES_tradnl"/>
        </w:rPr>
        <w:t>,</w:t>
      </w:r>
      <w:r>
        <w:rPr>
          <w:sz w:val="24"/>
          <w:szCs w:val="24"/>
          <w:lang w:val="es-ES_tradnl"/>
        </w:rPr>
        <w:t xml:space="preserve"> algunos de los gestores mencionan </w:t>
      </w:r>
      <w:r w:rsidR="003E7EE8">
        <w:rPr>
          <w:sz w:val="24"/>
          <w:szCs w:val="24"/>
          <w:lang w:val="es-ES_tradnl"/>
        </w:rPr>
        <w:t>la oportunidad de</w:t>
      </w:r>
      <w:r w:rsidRPr="000C28DE">
        <w:rPr>
          <w:sz w:val="24"/>
          <w:szCs w:val="24"/>
          <w:lang w:val="es-ES_tradnl"/>
        </w:rPr>
        <w:t xml:space="preserve"> </w:t>
      </w:r>
      <w:r w:rsidR="00F46F10">
        <w:rPr>
          <w:sz w:val="24"/>
          <w:szCs w:val="24"/>
          <w:lang w:val="es-ES_tradnl"/>
        </w:rPr>
        <w:t>trabajar en</w:t>
      </w:r>
      <w:r w:rsidRPr="000C28DE">
        <w:rPr>
          <w:sz w:val="24"/>
          <w:szCs w:val="24"/>
          <w:lang w:val="es-ES_tradnl"/>
        </w:rPr>
        <w:t xml:space="preserve"> un plan de choque de emprendimiento</w:t>
      </w:r>
      <w:r w:rsidR="000C28DE">
        <w:rPr>
          <w:sz w:val="24"/>
          <w:szCs w:val="24"/>
          <w:lang w:val="es-ES_tradnl"/>
        </w:rPr>
        <w:t xml:space="preserve"> conjunto, para el cual cuentan</w:t>
      </w:r>
      <w:r w:rsidRPr="000C28DE">
        <w:rPr>
          <w:sz w:val="24"/>
          <w:szCs w:val="24"/>
          <w:lang w:val="es-ES_tradnl"/>
        </w:rPr>
        <w:t xml:space="preserve"> ya con </w:t>
      </w:r>
      <w:r w:rsidR="002E0102">
        <w:rPr>
          <w:sz w:val="24"/>
          <w:szCs w:val="24"/>
          <w:lang w:val="es-ES_tradnl"/>
        </w:rPr>
        <w:t>la complicidad de</w:t>
      </w:r>
      <w:r w:rsidRPr="000C28DE">
        <w:rPr>
          <w:sz w:val="24"/>
          <w:szCs w:val="24"/>
          <w:lang w:val="es-ES_tradnl"/>
        </w:rPr>
        <w:t xml:space="preserve"> las Administraciones Públicas, que se han comprometido a liderar </w:t>
      </w:r>
      <w:r w:rsidR="002E0102">
        <w:rPr>
          <w:sz w:val="24"/>
          <w:szCs w:val="24"/>
          <w:lang w:val="es-ES_tradnl"/>
        </w:rPr>
        <w:t>iniciativas para la mejora de la competitividad</w:t>
      </w:r>
      <w:r w:rsidRPr="000C28DE">
        <w:rPr>
          <w:sz w:val="24"/>
          <w:szCs w:val="24"/>
          <w:lang w:val="es-ES_tradnl"/>
        </w:rPr>
        <w:t xml:space="preserve">. </w:t>
      </w:r>
    </w:p>
    <w:p w:rsidR="003E7EE8" w:rsidRPr="007F29E4" w:rsidRDefault="003E7EE8" w:rsidP="005B2F3D">
      <w:pPr>
        <w:spacing w:line="360" w:lineRule="auto"/>
        <w:jc w:val="both"/>
        <w:rPr>
          <w:sz w:val="24"/>
          <w:szCs w:val="24"/>
          <w:lang w:val="es-ES_tradnl"/>
        </w:rPr>
      </w:pPr>
    </w:p>
    <w:p w:rsidR="007F29E4" w:rsidRPr="007F29E4" w:rsidRDefault="007F29E4" w:rsidP="005B2F3D">
      <w:pPr>
        <w:spacing w:line="360" w:lineRule="auto"/>
        <w:jc w:val="both"/>
        <w:rPr>
          <w:sz w:val="24"/>
          <w:szCs w:val="24"/>
          <w:lang w:val="es-ES_tradnl"/>
        </w:rPr>
      </w:pPr>
      <w:r w:rsidRPr="007F29E4">
        <w:rPr>
          <w:sz w:val="24"/>
          <w:szCs w:val="24"/>
          <w:lang w:val="es-ES_tradnl"/>
        </w:rPr>
        <w:t xml:space="preserve">Finalmente, </w:t>
      </w:r>
      <w:r w:rsidR="00E513B6">
        <w:rPr>
          <w:sz w:val="24"/>
          <w:szCs w:val="24"/>
          <w:lang w:val="es-ES_tradnl"/>
        </w:rPr>
        <w:t>numerosos</w:t>
      </w:r>
      <w:r w:rsidRPr="007F29E4">
        <w:rPr>
          <w:sz w:val="24"/>
          <w:szCs w:val="24"/>
          <w:lang w:val="es-ES_tradnl"/>
        </w:rPr>
        <w:t xml:space="preserve"> </w:t>
      </w:r>
      <w:r w:rsidR="002E0102">
        <w:rPr>
          <w:sz w:val="24"/>
          <w:szCs w:val="24"/>
          <w:lang w:val="es-ES_tradnl"/>
        </w:rPr>
        <w:t>centros especiales de empleo</w:t>
      </w:r>
      <w:r w:rsidR="002E0102" w:rsidRPr="007F29E4">
        <w:rPr>
          <w:sz w:val="24"/>
          <w:szCs w:val="24"/>
          <w:lang w:val="es-ES_tradnl"/>
        </w:rPr>
        <w:t xml:space="preserve"> </w:t>
      </w:r>
      <w:r w:rsidRPr="007F29E4">
        <w:rPr>
          <w:sz w:val="24"/>
          <w:szCs w:val="24"/>
          <w:lang w:val="es-ES_tradnl"/>
        </w:rPr>
        <w:t>consultados consideran que hay una gran oportu</w:t>
      </w:r>
      <w:r w:rsidR="005B00E1">
        <w:rPr>
          <w:sz w:val="24"/>
          <w:szCs w:val="24"/>
          <w:lang w:val="es-ES_tradnl"/>
        </w:rPr>
        <w:t>nidad latente en la sociedad por</w:t>
      </w:r>
      <w:r w:rsidRPr="007F29E4">
        <w:rPr>
          <w:sz w:val="24"/>
          <w:szCs w:val="24"/>
          <w:lang w:val="es-ES_tradnl"/>
        </w:rPr>
        <w:t xml:space="preserve"> el hecho de que las compras responsables están cobrando fuerza, a medida que la población se conciencia y aumenta </w:t>
      </w:r>
      <w:r w:rsidR="003E7EE8">
        <w:rPr>
          <w:sz w:val="24"/>
          <w:szCs w:val="24"/>
          <w:lang w:val="es-ES_tradnl"/>
        </w:rPr>
        <w:t>el deseo de relacionarse con</w:t>
      </w:r>
      <w:r w:rsidRPr="007F29E4">
        <w:rPr>
          <w:sz w:val="24"/>
          <w:szCs w:val="24"/>
          <w:lang w:val="es-ES_tradnl"/>
        </w:rPr>
        <w:t xml:space="preserve"> empresas que cumplen con ciertos requisitos sociales.</w:t>
      </w:r>
    </w:p>
    <w:p w:rsidR="007F29E4" w:rsidRPr="007F29E4" w:rsidRDefault="007F29E4" w:rsidP="005B2F3D">
      <w:pPr>
        <w:spacing w:line="360" w:lineRule="auto"/>
        <w:jc w:val="both"/>
        <w:rPr>
          <w:sz w:val="24"/>
          <w:szCs w:val="24"/>
          <w:lang w:val="es-ES_tradnl"/>
        </w:rPr>
      </w:pPr>
    </w:p>
    <w:p w:rsidR="007F29E4" w:rsidRDefault="00BE49D6" w:rsidP="00BE49D6">
      <w:pPr>
        <w:pStyle w:val="Ttulo1"/>
        <w:rPr>
          <w:lang w:val="es-ES_tradnl"/>
        </w:rPr>
      </w:pPr>
      <w:bookmarkStart w:id="302" w:name="_Toc410916892"/>
      <w:r>
        <w:rPr>
          <w:lang w:val="es-ES_tradnl"/>
        </w:rPr>
        <w:t>Conclus</w:t>
      </w:r>
      <w:r w:rsidR="00842404">
        <w:rPr>
          <w:lang w:val="es-ES_tradnl"/>
        </w:rPr>
        <w:t>iones</w:t>
      </w:r>
      <w:bookmarkEnd w:id="302"/>
    </w:p>
    <w:p w:rsidR="00360C30" w:rsidRDefault="00360C30" w:rsidP="00842404">
      <w:pPr>
        <w:pStyle w:val="Textoindependiente"/>
        <w:rPr>
          <w:lang w:val="es-ES_tradnl"/>
        </w:rPr>
      </w:pPr>
    </w:p>
    <w:p w:rsidR="00B127BA" w:rsidRDefault="00B127BA" w:rsidP="00B127BA">
      <w:pPr>
        <w:autoSpaceDE w:val="0"/>
        <w:autoSpaceDN w:val="0"/>
        <w:spacing w:line="360" w:lineRule="auto"/>
        <w:jc w:val="both"/>
        <w:rPr>
          <w:sz w:val="24"/>
          <w:szCs w:val="24"/>
          <w:lang w:val="es-ES_tradnl"/>
        </w:rPr>
      </w:pPr>
      <w:r>
        <w:rPr>
          <w:sz w:val="24"/>
          <w:szCs w:val="24"/>
          <w:lang w:val="es-ES_tradnl"/>
        </w:rPr>
        <w:t>Para l</w:t>
      </w:r>
      <w:r w:rsidRPr="00BE20A7">
        <w:rPr>
          <w:sz w:val="24"/>
          <w:szCs w:val="24"/>
          <w:lang w:val="es-ES_tradnl"/>
        </w:rPr>
        <w:t>a integración de las personas con discapacida</w:t>
      </w:r>
      <w:r>
        <w:rPr>
          <w:sz w:val="24"/>
          <w:szCs w:val="24"/>
          <w:lang w:val="es-ES_tradnl"/>
        </w:rPr>
        <w:t xml:space="preserve">d en el mercado laboral es </w:t>
      </w:r>
      <w:r w:rsidR="003E7EE8">
        <w:rPr>
          <w:sz w:val="24"/>
          <w:szCs w:val="24"/>
          <w:lang w:val="es-ES_tradnl"/>
        </w:rPr>
        <w:t xml:space="preserve">necesario </w:t>
      </w:r>
      <w:r>
        <w:rPr>
          <w:sz w:val="24"/>
          <w:szCs w:val="24"/>
          <w:lang w:val="es-ES_tradnl"/>
        </w:rPr>
        <w:t>resolver problemas de</w:t>
      </w:r>
      <w:r w:rsidRPr="00BE20A7">
        <w:rPr>
          <w:sz w:val="24"/>
          <w:szCs w:val="24"/>
          <w:lang w:val="es-ES_tradnl"/>
        </w:rPr>
        <w:t xml:space="preserve"> discriminación, el</w:t>
      </w:r>
      <w:r>
        <w:rPr>
          <w:sz w:val="24"/>
          <w:szCs w:val="24"/>
          <w:lang w:val="es-ES_tradnl"/>
        </w:rPr>
        <w:t>iminar barreras de entrada e incentivar a</w:t>
      </w:r>
      <w:r w:rsidRPr="00BE20A7">
        <w:rPr>
          <w:sz w:val="24"/>
          <w:szCs w:val="24"/>
          <w:lang w:val="es-ES_tradnl"/>
        </w:rPr>
        <w:t xml:space="preserve"> empleadores</w:t>
      </w:r>
      <w:r w:rsidR="004D33ED">
        <w:rPr>
          <w:sz w:val="24"/>
          <w:szCs w:val="24"/>
          <w:lang w:val="es-ES_tradnl"/>
        </w:rPr>
        <w:t>, entre otros</w:t>
      </w:r>
      <w:r w:rsidRPr="00BE20A7">
        <w:rPr>
          <w:sz w:val="24"/>
          <w:szCs w:val="24"/>
          <w:lang w:val="es-ES_tradnl"/>
        </w:rPr>
        <w:t xml:space="preserve">. Pero la integración también requiere de la existencia de entornos de trabajo </w:t>
      </w:r>
      <w:r w:rsidR="00842404">
        <w:rPr>
          <w:sz w:val="24"/>
          <w:szCs w:val="24"/>
          <w:lang w:val="es-ES_tradnl"/>
        </w:rPr>
        <w:t xml:space="preserve">como los que ofrecen los centros especiales de empleo, </w:t>
      </w:r>
      <w:r w:rsidRPr="00BE20A7">
        <w:rPr>
          <w:sz w:val="24"/>
          <w:szCs w:val="24"/>
          <w:lang w:val="es-ES_tradnl"/>
        </w:rPr>
        <w:t>en los que las personas con discapacidad puedan desarr</w:t>
      </w:r>
      <w:r>
        <w:rPr>
          <w:sz w:val="24"/>
          <w:szCs w:val="24"/>
          <w:lang w:val="es-ES_tradnl"/>
        </w:rPr>
        <w:t>ollar su potencial</w:t>
      </w:r>
      <w:r w:rsidR="002E0102">
        <w:rPr>
          <w:sz w:val="24"/>
          <w:szCs w:val="24"/>
          <w:lang w:val="es-ES_tradnl"/>
        </w:rPr>
        <w:t>. También son necesarios</w:t>
      </w:r>
      <w:r>
        <w:rPr>
          <w:sz w:val="24"/>
          <w:szCs w:val="24"/>
          <w:lang w:val="es-ES_tradnl"/>
        </w:rPr>
        <w:t xml:space="preserve"> </w:t>
      </w:r>
      <w:r w:rsidRPr="00BE20A7">
        <w:rPr>
          <w:sz w:val="24"/>
          <w:szCs w:val="24"/>
          <w:lang w:val="es-ES_tradnl"/>
        </w:rPr>
        <w:t>servicios especializados</w:t>
      </w:r>
      <w:r w:rsidRPr="000C08E4">
        <w:rPr>
          <w:sz w:val="24"/>
          <w:szCs w:val="24"/>
          <w:lang w:val="es-ES_tradnl"/>
        </w:rPr>
        <w:t xml:space="preserve"> </w:t>
      </w:r>
      <w:r w:rsidRPr="00BE20A7">
        <w:rPr>
          <w:sz w:val="24"/>
          <w:szCs w:val="24"/>
          <w:lang w:val="es-ES_tradnl"/>
        </w:rPr>
        <w:t xml:space="preserve">capaces </w:t>
      </w:r>
      <w:r>
        <w:rPr>
          <w:sz w:val="24"/>
          <w:szCs w:val="24"/>
          <w:lang w:val="es-ES_tradnl"/>
        </w:rPr>
        <w:t>de atender</w:t>
      </w:r>
      <w:r w:rsidRPr="00BE20A7">
        <w:rPr>
          <w:sz w:val="24"/>
          <w:szCs w:val="24"/>
          <w:lang w:val="es-ES_tradnl"/>
        </w:rPr>
        <w:t xml:space="preserve"> las</w:t>
      </w:r>
      <w:r>
        <w:rPr>
          <w:sz w:val="24"/>
          <w:szCs w:val="24"/>
          <w:lang w:val="es-ES_tradnl"/>
        </w:rPr>
        <w:t xml:space="preserve"> necesidades de este colectivo y</w:t>
      </w:r>
      <w:r w:rsidRPr="00BE20A7">
        <w:rPr>
          <w:sz w:val="24"/>
          <w:szCs w:val="24"/>
          <w:lang w:val="es-ES_tradnl"/>
        </w:rPr>
        <w:t xml:space="preserve"> del apoyo y reconocimiento social a los empleadores que les ofrecen oportunidades.</w:t>
      </w:r>
    </w:p>
    <w:p w:rsidR="00B127BA" w:rsidRDefault="00B127BA" w:rsidP="00B127BA">
      <w:pPr>
        <w:autoSpaceDE w:val="0"/>
        <w:autoSpaceDN w:val="0"/>
        <w:spacing w:line="360" w:lineRule="auto"/>
        <w:jc w:val="both"/>
        <w:rPr>
          <w:sz w:val="24"/>
          <w:szCs w:val="24"/>
          <w:lang w:val="es-ES_tradnl"/>
        </w:rPr>
      </w:pPr>
    </w:p>
    <w:p w:rsidR="004B010B" w:rsidRDefault="00B127BA" w:rsidP="004B010B">
      <w:pPr>
        <w:autoSpaceDE w:val="0"/>
        <w:autoSpaceDN w:val="0"/>
        <w:spacing w:line="360" w:lineRule="auto"/>
        <w:jc w:val="both"/>
        <w:rPr>
          <w:sz w:val="24"/>
          <w:szCs w:val="24"/>
          <w:lang w:val="es-ES_tradnl"/>
        </w:rPr>
      </w:pPr>
      <w:r>
        <w:rPr>
          <w:sz w:val="24"/>
          <w:szCs w:val="24"/>
          <w:lang w:val="es-ES_tradnl"/>
        </w:rPr>
        <w:t xml:space="preserve">Los </w:t>
      </w:r>
      <w:r w:rsidR="000822EF">
        <w:rPr>
          <w:sz w:val="24"/>
          <w:szCs w:val="24"/>
          <w:lang w:val="es-ES_tradnl"/>
        </w:rPr>
        <w:t>centros especiale</w:t>
      </w:r>
      <w:r w:rsidR="00263316">
        <w:rPr>
          <w:sz w:val="24"/>
          <w:szCs w:val="24"/>
          <w:lang w:val="es-ES_tradnl"/>
        </w:rPr>
        <w:t>s</w:t>
      </w:r>
      <w:r w:rsidR="000822EF">
        <w:rPr>
          <w:sz w:val="24"/>
          <w:szCs w:val="24"/>
          <w:lang w:val="es-ES_tradnl"/>
        </w:rPr>
        <w:t xml:space="preserve"> de empleo</w:t>
      </w:r>
      <w:r>
        <w:rPr>
          <w:sz w:val="24"/>
          <w:szCs w:val="24"/>
          <w:lang w:val="es-ES_tradnl"/>
        </w:rPr>
        <w:t xml:space="preserve"> de Castilla y León permiten a las personas con discapacidad acceder </w:t>
      </w:r>
      <w:r w:rsidR="003E7EE8">
        <w:rPr>
          <w:sz w:val="24"/>
          <w:szCs w:val="24"/>
          <w:lang w:val="es-ES_tradnl"/>
        </w:rPr>
        <w:t xml:space="preserve">a </w:t>
      </w:r>
      <w:r w:rsidR="00842404">
        <w:rPr>
          <w:sz w:val="24"/>
          <w:szCs w:val="24"/>
          <w:lang w:val="es-ES_tradnl"/>
        </w:rPr>
        <w:t>sus derechos</w:t>
      </w:r>
      <w:r>
        <w:rPr>
          <w:sz w:val="24"/>
          <w:szCs w:val="24"/>
          <w:lang w:val="es-ES_tradnl"/>
        </w:rPr>
        <w:t xml:space="preserve">. </w:t>
      </w:r>
      <w:r w:rsidR="00842404">
        <w:rPr>
          <w:sz w:val="24"/>
          <w:szCs w:val="24"/>
          <w:lang w:val="es-ES_tradnl"/>
        </w:rPr>
        <w:t>C</w:t>
      </w:r>
      <w:r w:rsidRPr="00BE20A7">
        <w:rPr>
          <w:sz w:val="24"/>
          <w:szCs w:val="24"/>
          <w:lang w:val="es-ES_tradnl"/>
        </w:rPr>
        <w:t>uentan con una plantilla de más de 4</w:t>
      </w:r>
      <w:r>
        <w:rPr>
          <w:sz w:val="24"/>
          <w:szCs w:val="24"/>
          <w:lang w:val="es-ES_tradnl"/>
        </w:rPr>
        <w:t>.</w:t>
      </w:r>
      <w:r w:rsidRPr="00BE20A7">
        <w:rPr>
          <w:sz w:val="24"/>
          <w:szCs w:val="24"/>
          <w:lang w:val="es-ES_tradnl"/>
        </w:rPr>
        <w:t xml:space="preserve">000 </w:t>
      </w:r>
      <w:r>
        <w:rPr>
          <w:sz w:val="24"/>
          <w:szCs w:val="24"/>
          <w:lang w:val="es-ES_tradnl"/>
        </w:rPr>
        <w:t>personas</w:t>
      </w:r>
      <w:r w:rsidRPr="00BE20A7">
        <w:rPr>
          <w:sz w:val="24"/>
          <w:szCs w:val="24"/>
          <w:lang w:val="es-ES_tradnl"/>
        </w:rPr>
        <w:t>, y</w:t>
      </w:r>
      <w:r>
        <w:rPr>
          <w:sz w:val="24"/>
          <w:szCs w:val="24"/>
          <w:lang w:val="es-ES_tradnl"/>
        </w:rPr>
        <w:t xml:space="preserve"> generan</w:t>
      </w:r>
      <w:r w:rsidRPr="00BE20A7">
        <w:rPr>
          <w:sz w:val="24"/>
          <w:szCs w:val="24"/>
          <w:lang w:val="es-ES_tradnl"/>
        </w:rPr>
        <w:t xml:space="preserve"> un desembolso anual en salarios a personas con discapacidad de </w:t>
      </w:r>
      <w:r w:rsidR="00113A57">
        <w:rPr>
          <w:sz w:val="24"/>
          <w:szCs w:val="24"/>
          <w:lang w:val="es-ES_tradnl"/>
        </w:rPr>
        <w:t>más de 48 millones d</w:t>
      </w:r>
      <w:r>
        <w:rPr>
          <w:sz w:val="24"/>
          <w:szCs w:val="24"/>
          <w:lang w:val="es-ES_tradnl"/>
        </w:rPr>
        <w:t xml:space="preserve">e euros. </w:t>
      </w:r>
      <w:r w:rsidR="00842404" w:rsidRPr="00E63B22">
        <w:rPr>
          <w:b/>
          <w:sz w:val="24"/>
          <w:szCs w:val="24"/>
          <w:lang w:val="es-ES_tradnl"/>
        </w:rPr>
        <w:t>Por cada euro que reciben en ayudas de la administración pública, reto</w:t>
      </w:r>
      <w:r w:rsidR="004B010B" w:rsidRPr="00E63B22">
        <w:rPr>
          <w:b/>
          <w:sz w:val="24"/>
          <w:szCs w:val="24"/>
          <w:lang w:val="es-ES_tradnl"/>
        </w:rPr>
        <w:t>rnan 1,7 euros, u</w:t>
      </w:r>
      <w:r w:rsidR="00842404" w:rsidRPr="00E63B22">
        <w:rPr>
          <w:b/>
          <w:sz w:val="24"/>
          <w:szCs w:val="24"/>
          <w:lang w:val="es-ES_tradnl"/>
        </w:rPr>
        <w:t>na cifra que supera el retorno estimado de los centros especiales de empleo para el conjunto de España</w:t>
      </w:r>
      <w:r w:rsidR="00842404">
        <w:rPr>
          <w:sz w:val="24"/>
          <w:szCs w:val="24"/>
          <w:lang w:val="es-ES_tradnl"/>
        </w:rPr>
        <w:t xml:space="preserve">. </w:t>
      </w:r>
      <w:r w:rsidR="004B010B">
        <w:rPr>
          <w:sz w:val="24"/>
          <w:szCs w:val="24"/>
          <w:lang w:val="es-ES_tradnl"/>
        </w:rPr>
        <w:t>Sin embargo, no todo debe reducirse a números; la integración de las personas con discapacidad</w:t>
      </w:r>
      <w:r w:rsidR="004B010B" w:rsidRPr="00BE20A7">
        <w:rPr>
          <w:sz w:val="24"/>
          <w:szCs w:val="24"/>
          <w:lang w:val="es-ES_tradnl"/>
        </w:rPr>
        <w:t xml:space="preserve"> en el mercado laboral </w:t>
      </w:r>
      <w:r w:rsidR="004B010B">
        <w:rPr>
          <w:sz w:val="24"/>
          <w:szCs w:val="24"/>
          <w:lang w:val="es-ES_tradnl"/>
        </w:rPr>
        <w:t>genera</w:t>
      </w:r>
      <w:r w:rsidR="004B010B" w:rsidRPr="00BE20A7">
        <w:rPr>
          <w:sz w:val="24"/>
          <w:szCs w:val="24"/>
          <w:lang w:val="es-ES_tradnl"/>
        </w:rPr>
        <w:t xml:space="preserve"> un valor añadido </w:t>
      </w:r>
      <w:r w:rsidR="004B010B">
        <w:rPr>
          <w:sz w:val="24"/>
          <w:szCs w:val="24"/>
          <w:lang w:val="es-ES_tradnl"/>
        </w:rPr>
        <w:t>social</w:t>
      </w:r>
      <w:r w:rsidR="004B010B" w:rsidRPr="00BE20A7">
        <w:rPr>
          <w:sz w:val="24"/>
          <w:szCs w:val="24"/>
          <w:lang w:val="es-ES_tradnl"/>
        </w:rPr>
        <w:t xml:space="preserve"> que</w:t>
      </w:r>
      <w:r w:rsidR="004B010B" w:rsidRPr="005A4A99">
        <w:rPr>
          <w:sz w:val="24"/>
          <w:szCs w:val="24"/>
          <w:lang w:val="es-ES_tradnl"/>
        </w:rPr>
        <w:t xml:space="preserve"> va más allá de lo cuantificable en un estudio analítico e incumbe no sólo a las personas con discapacidad empleadas sino también a sus familias y </w:t>
      </w:r>
      <w:r w:rsidR="004B010B">
        <w:rPr>
          <w:sz w:val="24"/>
          <w:szCs w:val="24"/>
          <w:lang w:val="es-ES_tradnl"/>
        </w:rPr>
        <w:t>al conjunto de la sociedad</w:t>
      </w:r>
      <w:r w:rsidR="004B010B" w:rsidRPr="005A4A99">
        <w:rPr>
          <w:sz w:val="24"/>
          <w:szCs w:val="24"/>
          <w:lang w:val="es-ES_tradnl"/>
        </w:rPr>
        <w:t>.</w:t>
      </w:r>
    </w:p>
    <w:p w:rsidR="004B010B" w:rsidRDefault="004B010B" w:rsidP="004B010B">
      <w:pPr>
        <w:pStyle w:val="Prrafodelista"/>
        <w:spacing w:line="360" w:lineRule="auto"/>
        <w:ind w:left="0"/>
        <w:jc w:val="both"/>
        <w:rPr>
          <w:sz w:val="24"/>
          <w:szCs w:val="24"/>
          <w:lang w:val="es-ES_tradnl"/>
        </w:rPr>
      </w:pPr>
    </w:p>
    <w:p w:rsidR="004B010B" w:rsidRDefault="004B010B" w:rsidP="004B010B">
      <w:pPr>
        <w:pStyle w:val="Prrafodelista"/>
        <w:spacing w:line="360" w:lineRule="auto"/>
        <w:ind w:left="0"/>
        <w:jc w:val="both"/>
        <w:rPr>
          <w:sz w:val="24"/>
          <w:szCs w:val="24"/>
          <w:lang w:val="es-ES_tradnl"/>
        </w:rPr>
      </w:pPr>
      <w:r>
        <w:rPr>
          <w:sz w:val="24"/>
          <w:szCs w:val="24"/>
          <w:lang w:val="es-ES_tradnl"/>
        </w:rPr>
        <w:t>L</w:t>
      </w:r>
      <w:r w:rsidRPr="00BE20A7">
        <w:rPr>
          <w:sz w:val="24"/>
          <w:szCs w:val="24"/>
          <w:lang w:val="es-ES_tradnl"/>
        </w:rPr>
        <w:t xml:space="preserve">os centros especiales de empleo de Castilla y León </w:t>
      </w:r>
      <w:r>
        <w:rPr>
          <w:sz w:val="24"/>
          <w:szCs w:val="24"/>
          <w:lang w:val="es-ES_tradnl"/>
        </w:rPr>
        <w:t xml:space="preserve">no sólo han demostrado ser </w:t>
      </w:r>
      <w:r w:rsidRPr="00BE20A7">
        <w:rPr>
          <w:sz w:val="24"/>
          <w:szCs w:val="24"/>
          <w:lang w:val="es-ES_tradnl"/>
        </w:rPr>
        <w:t xml:space="preserve">unos agentes eficientes y eficaces del mercado laboral </w:t>
      </w:r>
      <w:r>
        <w:rPr>
          <w:sz w:val="24"/>
          <w:szCs w:val="24"/>
          <w:lang w:val="es-ES_tradnl"/>
        </w:rPr>
        <w:t>sino que también parecen</w:t>
      </w:r>
      <w:r w:rsidRPr="00BE20A7">
        <w:rPr>
          <w:sz w:val="24"/>
          <w:szCs w:val="24"/>
          <w:lang w:val="es-ES_tradnl"/>
        </w:rPr>
        <w:t xml:space="preserve"> </w:t>
      </w:r>
      <w:r>
        <w:rPr>
          <w:sz w:val="24"/>
          <w:szCs w:val="24"/>
          <w:lang w:val="es-ES_tradnl"/>
        </w:rPr>
        <w:t>desempeñan un rol fundamental</w:t>
      </w:r>
      <w:r w:rsidRPr="00BE20A7">
        <w:rPr>
          <w:sz w:val="24"/>
          <w:szCs w:val="24"/>
          <w:lang w:val="es-ES_tradnl"/>
        </w:rPr>
        <w:t xml:space="preserve"> para la Comunidad de Castilla y León en la integración social de las personas con discapacidad. Teniendo e</w:t>
      </w:r>
      <w:r>
        <w:rPr>
          <w:sz w:val="24"/>
          <w:szCs w:val="24"/>
          <w:lang w:val="es-ES_tradnl"/>
        </w:rPr>
        <w:t>n cuenta que actualmente hay alrededor de 30.0</w:t>
      </w:r>
      <w:r w:rsidRPr="00BE20A7">
        <w:rPr>
          <w:sz w:val="24"/>
          <w:szCs w:val="24"/>
          <w:lang w:val="es-ES_tradnl"/>
        </w:rPr>
        <w:t xml:space="preserve">00 personas con discapacidad activas en el mercado laboral de Castilla y León, y que los centros especiales de empleo emplearon a 4.031 personas con discapacidad en </w:t>
      </w:r>
      <w:r>
        <w:rPr>
          <w:sz w:val="24"/>
          <w:szCs w:val="24"/>
          <w:lang w:val="es-ES_tradnl"/>
        </w:rPr>
        <w:t>2013</w:t>
      </w:r>
      <w:r w:rsidRPr="00BE20A7">
        <w:rPr>
          <w:sz w:val="24"/>
          <w:szCs w:val="24"/>
          <w:lang w:val="es-ES_tradnl"/>
        </w:rPr>
        <w:t xml:space="preserve">, la relevancia </w:t>
      </w:r>
      <w:r w:rsidR="002E0102">
        <w:rPr>
          <w:sz w:val="24"/>
          <w:szCs w:val="24"/>
          <w:lang w:val="es-ES_tradnl"/>
        </w:rPr>
        <w:t>de</w:t>
      </w:r>
      <w:r w:rsidRPr="00BE20A7">
        <w:rPr>
          <w:sz w:val="24"/>
          <w:szCs w:val="24"/>
          <w:lang w:val="es-ES_tradnl"/>
        </w:rPr>
        <w:t xml:space="preserve"> los </w:t>
      </w:r>
      <w:r w:rsidR="002E0102">
        <w:rPr>
          <w:sz w:val="24"/>
          <w:szCs w:val="24"/>
          <w:lang w:val="es-ES_tradnl"/>
        </w:rPr>
        <w:t>centros especiales de empleo</w:t>
      </w:r>
      <w:r w:rsidRPr="00BE20A7">
        <w:rPr>
          <w:sz w:val="24"/>
          <w:szCs w:val="24"/>
          <w:lang w:val="es-ES_tradnl"/>
        </w:rPr>
        <w:t xml:space="preserve"> en la comunidad autónoma es enorme.</w:t>
      </w:r>
      <w:r w:rsidRPr="00BE20A7">
        <w:rPr>
          <w:rStyle w:val="Refdenotaalpie"/>
          <w:sz w:val="24"/>
          <w:szCs w:val="24"/>
          <w:lang w:val="es-ES_tradnl"/>
        </w:rPr>
        <w:footnoteReference w:id="12"/>
      </w:r>
    </w:p>
    <w:p w:rsidR="004B010B" w:rsidRDefault="004B010B" w:rsidP="004B010B">
      <w:pPr>
        <w:pStyle w:val="Prrafodelista"/>
        <w:spacing w:line="360" w:lineRule="auto"/>
        <w:ind w:left="0"/>
        <w:jc w:val="both"/>
        <w:rPr>
          <w:sz w:val="24"/>
          <w:szCs w:val="24"/>
          <w:lang w:val="es-ES_tradnl"/>
        </w:rPr>
      </w:pPr>
    </w:p>
    <w:p w:rsidR="004B010B" w:rsidRPr="00BE20A7" w:rsidRDefault="004B010B" w:rsidP="004B010B">
      <w:pPr>
        <w:pStyle w:val="Prrafodelista"/>
        <w:spacing w:line="360" w:lineRule="auto"/>
        <w:ind w:left="0"/>
        <w:jc w:val="both"/>
        <w:rPr>
          <w:sz w:val="24"/>
          <w:szCs w:val="24"/>
          <w:lang w:val="es-ES_tradnl"/>
        </w:rPr>
      </w:pPr>
      <w:r w:rsidRPr="00BE20A7">
        <w:rPr>
          <w:sz w:val="24"/>
          <w:szCs w:val="24"/>
          <w:lang w:val="es-ES_tradnl"/>
        </w:rPr>
        <w:t>Además, en la actualidad hay más de 10.000 personas con discapac</w:t>
      </w:r>
      <w:r w:rsidR="008A4329">
        <w:rPr>
          <w:sz w:val="24"/>
          <w:szCs w:val="24"/>
          <w:lang w:val="es-ES_tradnl"/>
        </w:rPr>
        <w:t>idad demandantes de un empleo</w:t>
      </w:r>
      <w:r w:rsidRPr="00BE20A7">
        <w:rPr>
          <w:sz w:val="24"/>
          <w:szCs w:val="24"/>
          <w:lang w:val="es-ES_tradnl"/>
        </w:rPr>
        <w:t xml:space="preserve"> en Castilla y León, lo que pone de manifiesto la necesidad de absorber esa creciente demanda de trabajo y de ayudar a acelerar el cambio de mentalidad que se está produciendo con respecto a la productividad e integración laboral del colectivo de las personas con discapacidad.</w:t>
      </w:r>
    </w:p>
    <w:p w:rsidR="00B127BA" w:rsidRPr="001E23C6" w:rsidRDefault="00B127BA" w:rsidP="00B127BA">
      <w:pPr>
        <w:spacing w:line="360" w:lineRule="auto"/>
        <w:jc w:val="both"/>
        <w:rPr>
          <w:sz w:val="24"/>
          <w:szCs w:val="24"/>
        </w:rPr>
      </w:pPr>
    </w:p>
    <w:p w:rsidR="00842404" w:rsidRDefault="00842404" w:rsidP="00B127BA">
      <w:pPr>
        <w:spacing w:line="360" w:lineRule="auto"/>
        <w:jc w:val="both"/>
        <w:rPr>
          <w:rFonts w:ascii="MinionPro-Regular" w:hAnsi="MinionPro-Regular"/>
          <w:sz w:val="24"/>
          <w:szCs w:val="24"/>
          <w:lang w:val="es-ES_tradnl"/>
        </w:rPr>
      </w:pPr>
      <w:r>
        <w:rPr>
          <w:sz w:val="24"/>
          <w:szCs w:val="24"/>
          <w:lang w:val="es-ES_tradnl"/>
        </w:rPr>
        <w:t xml:space="preserve">Este estudio ha analizado las características de los centros especiales de empleo de Castilla y León desde </w:t>
      </w:r>
      <w:r w:rsidR="00B127BA">
        <w:rPr>
          <w:sz w:val="24"/>
          <w:szCs w:val="24"/>
          <w:lang w:val="es-ES_tradnl"/>
        </w:rPr>
        <w:t xml:space="preserve">tres puntos de vista principales: evaluación financiera, evaluación de la posición competitiva y evaluación del impacto social. </w:t>
      </w:r>
    </w:p>
    <w:p w:rsidR="00E33855" w:rsidRDefault="00E33855" w:rsidP="00B127BA">
      <w:pPr>
        <w:spacing w:line="360" w:lineRule="auto"/>
        <w:jc w:val="both"/>
        <w:rPr>
          <w:sz w:val="24"/>
          <w:szCs w:val="24"/>
          <w:lang w:val="es-ES_tradnl"/>
        </w:rPr>
      </w:pPr>
    </w:p>
    <w:p w:rsidR="00B127BA" w:rsidRDefault="00B127BA" w:rsidP="00B127BA">
      <w:pPr>
        <w:spacing w:line="360" w:lineRule="auto"/>
        <w:jc w:val="both"/>
        <w:rPr>
          <w:sz w:val="24"/>
          <w:szCs w:val="24"/>
          <w:lang w:val="es-ES_tradnl"/>
        </w:rPr>
      </w:pPr>
      <w:r w:rsidRPr="00E63B22">
        <w:rPr>
          <w:b/>
          <w:sz w:val="24"/>
          <w:szCs w:val="24"/>
          <w:lang w:val="es-ES_tradnl"/>
        </w:rPr>
        <w:t xml:space="preserve">El </w:t>
      </w:r>
      <w:r w:rsidR="007E339E" w:rsidRPr="00E63B22">
        <w:rPr>
          <w:b/>
          <w:sz w:val="24"/>
          <w:szCs w:val="24"/>
          <w:lang w:val="es-ES_tradnl"/>
        </w:rPr>
        <w:t>análisis</w:t>
      </w:r>
      <w:r w:rsidRPr="00E63B22">
        <w:rPr>
          <w:b/>
          <w:sz w:val="24"/>
          <w:szCs w:val="24"/>
          <w:lang w:val="es-ES_tradnl"/>
        </w:rPr>
        <w:t xml:space="preserve"> realizado revela </w:t>
      </w:r>
      <w:r w:rsidR="007E339E" w:rsidRPr="00E63B22">
        <w:rPr>
          <w:b/>
          <w:sz w:val="24"/>
          <w:szCs w:val="24"/>
          <w:lang w:val="es-ES_tradnl"/>
        </w:rPr>
        <w:t xml:space="preserve">un sector saludable, en el </w:t>
      </w:r>
      <w:r w:rsidRPr="00E63B22">
        <w:rPr>
          <w:b/>
          <w:sz w:val="24"/>
          <w:szCs w:val="24"/>
          <w:lang w:val="es-ES_tradnl"/>
        </w:rPr>
        <w:t xml:space="preserve">que los </w:t>
      </w:r>
      <w:r w:rsidR="002E0102" w:rsidRPr="00E63B22">
        <w:rPr>
          <w:b/>
          <w:sz w:val="24"/>
          <w:szCs w:val="24"/>
          <w:lang w:val="es-ES_tradnl"/>
        </w:rPr>
        <w:t>centros especiales de empleo</w:t>
      </w:r>
      <w:r w:rsidRPr="00E63B22">
        <w:rPr>
          <w:b/>
          <w:sz w:val="24"/>
          <w:szCs w:val="24"/>
          <w:lang w:val="es-ES_tradnl"/>
        </w:rPr>
        <w:t xml:space="preserve"> </w:t>
      </w:r>
      <w:r w:rsidR="002E0102" w:rsidRPr="00E63B22">
        <w:rPr>
          <w:b/>
          <w:sz w:val="24"/>
          <w:szCs w:val="24"/>
          <w:lang w:val="es-ES_tradnl"/>
        </w:rPr>
        <w:t>superan</w:t>
      </w:r>
      <w:r w:rsidR="007E339E" w:rsidRPr="00E63B22">
        <w:rPr>
          <w:b/>
          <w:sz w:val="24"/>
          <w:szCs w:val="24"/>
          <w:lang w:val="es-ES_tradnl"/>
        </w:rPr>
        <w:t xml:space="preserve"> con holgura los diversos tests realizados</w:t>
      </w:r>
      <w:r w:rsidRPr="00E63B22">
        <w:rPr>
          <w:b/>
          <w:sz w:val="24"/>
          <w:szCs w:val="24"/>
          <w:lang w:val="es-ES_tradnl"/>
        </w:rPr>
        <w:t xml:space="preserve">. </w:t>
      </w:r>
      <w:r w:rsidR="004B010B" w:rsidRPr="00E63B22">
        <w:rPr>
          <w:b/>
          <w:sz w:val="24"/>
          <w:szCs w:val="24"/>
          <w:lang w:val="es-ES_tradnl"/>
        </w:rPr>
        <w:t>De todas las dimensiones evaluadas, los centros especiales de empleo destacan sobre todo en lo relacionado al valor añadido social que generan.</w:t>
      </w:r>
      <w:r w:rsidR="004B010B" w:rsidRPr="00BE20A7">
        <w:rPr>
          <w:sz w:val="24"/>
          <w:szCs w:val="24"/>
          <w:lang w:val="es-ES_tradnl"/>
        </w:rPr>
        <w:t xml:space="preserve"> Se ha contrastado el rendimiento de los centros con estándares que se consideran adecuados pero exigentes para la calificación de una empresa como creadora de impacto social elevado.</w:t>
      </w:r>
      <w:r w:rsidR="004B010B">
        <w:rPr>
          <w:sz w:val="24"/>
          <w:szCs w:val="24"/>
          <w:lang w:val="es-ES_tradnl"/>
        </w:rPr>
        <w:t xml:space="preserve"> </w:t>
      </w:r>
      <w:r w:rsidR="004B010B" w:rsidRPr="00BE20A7">
        <w:rPr>
          <w:sz w:val="24"/>
          <w:szCs w:val="24"/>
          <w:lang w:val="es-ES_tradnl"/>
        </w:rPr>
        <w:t>Los resultados globales en materia financiera no son tan sobresalientes como los de impacto social pero siguen siendo buenos.</w:t>
      </w:r>
      <w:r w:rsidR="004B010B">
        <w:rPr>
          <w:sz w:val="24"/>
          <w:szCs w:val="24"/>
          <w:lang w:val="es-ES_tradnl"/>
        </w:rPr>
        <w:t xml:space="preserve"> </w:t>
      </w:r>
      <w:r w:rsidR="007E339E">
        <w:rPr>
          <w:sz w:val="24"/>
          <w:szCs w:val="24"/>
          <w:lang w:val="es-ES_tradnl"/>
        </w:rPr>
        <w:t xml:space="preserve">Quizá es en los parámetros utilizados para evaluar la posición competitiva donde los centros tienen un mayor margen de mejora. </w:t>
      </w:r>
    </w:p>
    <w:p w:rsidR="004B010B" w:rsidRDefault="004B010B" w:rsidP="00B127BA">
      <w:pPr>
        <w:spacing w:line="360" w:lineRule="auto"/>
        <w:jc w:val="both"/>
        <w:rPr>
          <w:sz w:val="24"/>
          <w:szCs w:val="24"/>
          <w:lang w:val="es-ES_tradnl"/>
        </w:rPr>
      </w:pPr>
    </w:p>
    <w:p w:rsidR="00B127BA" w:rsidRDefault="007E339E" w:rsidP="00B127BA">
      <w:pPr>
        <w:spacing w:line="360" w:lineRule="auto"/>
        <w:jc w:val="both"/>
        <w:rPr>
          <w:sz w:val="24"/>
          <w:szCs w:val="24"/>
          <w:lang w:val="es-ES_tradnl"/>
        </w:rPr>
      </w:pPr>
      <w:r w:rsidRPr="00E63B22">
        <w:rPr>
          <w:b/>
          <w:sz w:val="24"/>
          <w:szCs w:val="24"/>
          <w:lang w:val="es-ES_tradnl"/>
        </w:rPr>
        <w:t>Cabe destacar que e</w:t>
      </w:r>
      <w:r w:rsidR="00B127BA" w:rsidRPr="00E63B22">
        <w:rPr>
          <w:b/>
          <w:sz w:val="24"/>
          <w:szCs w:val="24"/>
          <w:lang w:val="es-ES_tradnl"/>
        </w:rPr>
        <w:t xml:space="preserve">l 47% de los </w:t>
      </w:r>
      <w:r w:rsidR="00A95742" w:rsidRPr="00E63B22">
        <w:rPr>
          <w:b/>
          <w:sz w:val="24"/>
          <w:szCs w:val="24"/>
          <w:lang w:val="es-ES_tradnl"/>
        </w:rPr>
        <w:t>CEEs</w:t>
      </w:r>
      <w:r w:rsidR="001D3655" w:rsidRPr="00E63B22">
        <w:rPr>
          <w:b/>
          <w:sz w:val="24"/>
          <w:szCs w:val="24"/>
          <w:lang w:val="es-ES_tradnl"/>
        </w:rPr>
        <w:t xml:space="preserve"> </w:t>
      </w:r>
      <w:r w:rsidRPr="00E63B22">
        <w:rPr>
          <w:b/>
          <w:sz w:val="24"/>
          <w:szCs w:val="24"/>
          <w:lang w:val="es-ES_tradnl"/>
        </w:rPr>
        <w:t xml:space="preserve">cuyo </w:t>
      </w:r>
      <w:r w:rsidR="00B127BA" w:rsidRPr="00E63B22">
        <w:rPr>
          <w:b/>
          <w:sz w:val="24"/>
          <w:szCs w:val="24"/>
          <w:lang w:val="es-ES_tradnl"/>
        </w:rPr>
        <w:t xml:space="preserve">desempeño social y financiero </w:t>
      </w:r>
      <w:r w:rsidRPr="00E63B22">
        <w:rPr>
          <w:b/>
          <w:sz w:val="24"/>
          <w:szCs w:val="24"/>
          <w:lang w:val="es-ES_tradnl"/>
        </w:rPr>
        <w:t xml:space="preserve">fue identificado como </w:t>
      </w:r>
      <w:r w:rsidR="001D3655" w:rsidRPr="00E63B22">
        <w:rPr>
          <w:b/>
          <w:sz w:val="24"/>
          <w:szCs w:val="24"/>
          <w:lang w:val="es-ES_tradnl"/>
        </w:rPr>
        <w:t xml:space="preserve">sobresaliente </w:t>
      </w:r>
      <w:r w:rsidR="00B127BA" w:rsidRPr="00E63B22">
        <w:rPr>
          <w:b/>
          <w:sz w:val="24"/>
          <w:szCs w:val="24"/>
          <w:lang w:val="es-ES_tradnl"/>
        </w:rPr>
        <w:t>agrupan un 76% del empleo de las</w:t>
      </w:r>
      <w:r w:rsidR="001D3655" w:rsidRPr="00E63B22">
        <w:rPr>
          <w:b/>
          <w:sz w:val="24"/>
          <w:szCs w:val="24"/>
          <w:lang w:val="es-ES_tradnl"/>
        </w:rPr>
        <w:t xml:space="preserve"> personas con discapacidad</w:t>
      </w:r>
      <w:r w:rsidRPr="00E63B22">
        <w:rPr>
          <w:b/>
          <w:sz w:val="24"/>
          <w:szCs w:val="24"/>
          <w:lang w:val="es-ES_tradnl"/>
        </w:rPr>
        <w:t xml:space="preserve"> en el sector</w:t>
      </w:r>
      <w:r w:rsidR="001D3655" w:rsidRPr="00E63B22">
        <w:rPr>
          <w:b/>
          <w:sz w:val="24"/>
          <w:szCs w:val="24"/>
          <w:lang w:val="es-ES_tradnl"/>
        </w:rPr>
        <w:t>.</w:t>
      </w:r>
      <w:r w:rsidR="001D3655">
        <w:rPr>
          <w:sz w:val="24"/>
          <w:szCs w:val="24"/>
          <w:lang w:val="es-ES_tradnl"/>
        </w:rPr>
        <w:t xml:space="preserve"> </w:t>
      </w:r>
      <w:r>
        <w:rPr>
          <w:sz w:val="24"/>
          <w:szCs w:val="24"/>
          <w:lang w:val="es-ES_tradnl"/>
        </w:rPr>
        <w:t>Cabe, por lo tanto, afirmar</w:t>
      </w:r>
      <w:r w:rsidR="00B127BA">
        <w:rPr>
          <w:sz w:val="24"/>
          <w:szCs w:val="24"/>
          <w:lang w:val="es-ES_tradnl"/>
        </w:rPr>
        <w:t xml:space="preserve"> que </w:t>
      </w:r>
      <w:r w:rsidR="00B127BA" w:rsidRPr="00BE20A7">
        <w:rPr>
          <w:sz w:val="24"/>
          <w:szCs w:val="24"/>
          <w:lang w:val="es-ES_tradnl"/>
        </w:rPr>
        <w:t xml:space="preserve">la gran mayoría de las personas con discapacidad empleadas en </w:t>
      </w:r>
      <w:r w:rsidR="002E0102">
        <w:rPr>
          <w:sz w:val="24"/>
          <w:szCs w:val="24"/>
          <w:lang w:val="es-ES_tradnl"/>
        </w:rPr>
        <w:t>centros especiales de empleo</w:t>
      </w:r>
      <w:r w:rsidR="00B127BA" w:rsidRPr="00BE20A7">
        <w:rPr>
          <w:sz w:val="24"/>
          <w:szCs w:val="24"/>
          <w:lang w:val="es-ES_tradnl"/>
        </w:rPr>
        <w:t xml:space="preserve"> de Castilla y León trabajan en </w:t>
      </w:r>
      <w:r w:rsidR="003E7EE8">
        <w:rPr>
          <w:sz w:val="24"/>
          <w:szCs w:val="24"/>
          <w:lang w:val="es-ES_tradnl"/>
        </w:rPr>
        <w:t xml:space="preserve">centros </w:t>
      </w:r>
      <w:r w:rsidR="00B127BA">
        <w:rPr>
          <w:sz w:val="24"/>
          <w:szCs w:val="24"/>
          <w:lang w:val="es-ES_tradnl"/>
        </w:rPr>
        <w:t xml:space="preserve">robustos financieramente y de elevado </w:t>
      </w:r>
      <w:r w:rsidR="00B127BA" w:rsidRPr="00BE20A7">
        <w:rPr>
          <w:sz w:val="24"/>
          <w:szCs w:val="24"/>
          <w:lang w:val="es-ES_tradnl"/>
        </w:rPr>
        <w:t>impacto social.</w:t>
      </w:r>
    </w:p>
    <w:p w:rsidR="00B127BA" w:rsidRDefault="00B127BA" w:rsidP="00B127BA">
      <w:pPr>
        <w:spacing w:line="360" w:lineRule="auto"/>
        <w:jc w:val="both"/>
        <w:rPr>
          <w:sz w:val="24"/>
          <w:szCs w:val="24"/>
          <w:lang w:val="es-ES_tradnl"/>
        </w:rPr>
      </w:pPr>
    </w:p>
    <w:p w:rsidR="00B127BA" w:rsidRDefault="00B127BA" w:rsidP="00B127BA">
      <w:pPr>
        <w:autoSpaceDE w:val="0"/>
        <w:autoSpaceDN w:val="0"/>
        <w:spacing w:line="360" w:lineRule="auto"/>
        <w:jc w:val="both"/>
        <w:rPr>
          <w:sz w:val="24"/>
          <w:szCs w:val="24"/>
          <w:lang w:val="es-ES_tradnl"/>
        </w:rPr>
      </w:pPr>
      <w:r w:rsidRPr="00BE20A7">
        <w:rPr>
          <w:sz w:val="24"/>
          <w:szCs w:val="24"/>
          <w:lang w:val="es-ES_tradnl"/>
        </w:rPr>
        <w:t xml:space="preserve">Los resultados que se presentan en este informe son positivos en términos absolutos. Sin embargo, resultan más alentadores si se entienden dentro </w:t>
      </w:r>
      <w:r w:rsidR="0052620F">
        <w:rPr>
          <w:sz w:val="24"/>
          <w:szCs w:val="24"/>
          <w:lang w:val="es-ES_tradnl"/>
        </w:rPr>
        <w:t xml:space="preserve">de </w:t>
      </w:r>
      <w:r w:rsidRPr="00BE20A7">
        <w:rPr>
          <w:sz w:val="24"/>
          <w:szCs w:val="24"/>
          <w:lang w:val="es-ES_tradnl"/>
        </w:rPr>
        <w:t>un contexto de grave crisis financiera y social</w:t>
      </w:r>
      <w:r w:rsidR="00B53929">
        <w:rPr>
          <w:sz w:val="24"/>
          <w:szCs w:val="24"/>
          <w:lang w:val="es-ES_tradnl"/>
        </w:rPr>
        <w:t xml:space="preserve"> en el conjunto de España</w:t>
      </w:r>
      <w:r w:rsidRPr="00BE20A7">
        <w:rPr>
          <w:sz w:val="24"/>
          <w:szCs w:val="24"/>
          <w:lang w:val="es-ES_tradnl"/>
        </w:rPr>
        <w:t>.</w:t>
      </w:r>
      <w:r>
        <w:rPr>
          <w:sz w:val="24"/>
          <w:szCs w:val="24"/>
          <w:lang w:val="es-ES_tradnl"/>
        </w:rPr>
        <w:t xml:space="preserve"> </w:t>
      </w:r>
    </w:p>
    <w:p w:rsidR="007E339E" w:rsidRDefault="007E339E" w:rsidP="00B127BA">
      <w:pPr>
        <w:autoSpaceDE w:val="0"/>
        <w:autoSpaceDN w:val="0"/>
        <w:spacing w:line="360" w:lineRule="auto"/>
        <w:jc w:val="both"/>
        <w:rPr>
          <w:sz w:val="24"/>
          <w:szCs w:val="24"/>
          <w:lang w:val="es-ES_tradnl"/>
        </w:rPr>
      </w:pPr>
    </w:p>
    <w:p w:rsidR="002E3C73" w:rsidRDefault="007E339E" w:rsidP="002E3C73">
      <w:pPr>
        <w:pStyle w:val="Prrafodelista"/>
        <w:spacing w:line="360" w:lineRule="auto"/>
        <w:ind w:left="0"/>
        <w:jc w:val="both"/>
        <w:rPr>
          <w:sz w:val="24"/>
          <w:szCs w:val="24"/>
          <w:lang w:val="es-ES_tradnl"/>
        </w:rPr>
      </w:pPr>
      <w:r w:rsidRPr="005F258D">
        <w:rPr>
          <w:b/>
          <w:sz w:val="24"/>
          <w:szCs w:val="24"/>
          <w:lang w:val="es-ES_tradnl"/>
        </w:rPr>
        <w:t>En lo que se refiere al análisis financiero, l</w:t>
      </w:r>
      <w:r w:rsidR="00B127BA" w:rsidRPr="005F258D">
        <w:rPr>
          <w:b/>
          <w:sz w:val="24"/>
          <w:szCs w:val="24"/>
          <w:lang w:val="es-ES_tradnl"/>
        </w:rPr>
        <w:t>os ámbitos donde los</w:t>
      </w:r>
      <w:r w:rsidR="002E0102" w:rsidRPr="005F258D">
        <w:rPr>
          <w:b/>
          <w:sz w:val="24"/>
          <w:szCs w:val="24"/>
          <w:lang w:val="es-ES_tradnl"/>
        </w:rPr>
        <w:t xml:space="preserve"> centros especiales de empleo </w:t>
      </w:r>
      <w:r w:rsidR="00B127BA" w:rsidRPr="005F258D">
        <w:rPr>
          <w:b/>
          <w:sz w:val="24"/>
          <w:szCs w:val="24"/>
          <w:lang w:val="es-ES_tradnl"/>
        </w:rPr>
        <w:t xml:space="preserve">muestran un mejor desempeño son la liquidez </w:t>
      </w:r>
      <w:r w:rsidRPr="005F258D">
        <w:rPr>
          <w:b/>
          <w:sz w:val="24"/>
          <w:szCs w:val="24"/>
          <w:lang w:val="es-ES_tradnl"/>
        </w:rPr>
        <w:t xml:space="preserve">y </w:t>
      </w:r>
      <w:r w:rsidR="00B127BA" w:rsidRPr="005F258D">
        <w:rPr>
          <w:b/>
          <w:sz w:val="24"/>
          <w:szCs w:val="24"/>
          <w:lang w:val="es-ES_tradnl"/>
        </w:rPr>
        <w:t xml:space="preserve">el </w:t>
      </w:r>
      <w:r w:rsidRPr="005F258D">
        <w:rPr>
          <w:b/>
          <w:sz w:val="24"/>
          <w:szCs w:val="24"/>
          <w:lang w:val="es-ES_tradnl"/>
        </w:rPr>
        <w:t xml:space="preserve">reducido nivel de </w:t>
      </w:r>
      <w:r w:rsidR="00B127BA" w:rsidRPr="005F258D">
        <w:rPr>
          <w:b/>
          <w:sz w:val="24"/>
          <w:szCs w:val="24"/>
          <w:lang w:val="es-ES_tradnl"/>
        </w:rPr>
        <w:t>endeudamiento.</w:t>
      </w:r>
      <w:r w:rsidR="00B127BA" w:rsidRPr="00BE20A7">
        <w:rPr>
          <w:sz w:val="24"/>
          <w:szCs w:val="24"/>
          <w:lang w:val="es-ES_tradnl"/>
        </w:rPr>
        <w:t xml:space="preserve"> </w:t>
      </w:r>
      <w:r w:rsidR="002E0102" w:rsidRPr="005F258D">
        <w:rPr>
          <w:b/>
          <w:sz w:val="24"/>
          <w:szCs w:val="24"/>
          <w:lang w:val="es-ES_tradnl"/>
        </w:rPr>
        <w:t>L</w:t>
      </w:r>
      <w:r w:rsidR="00B127BA" w:rsidRPr="005F258D">
        <w:rPr>
          <w:b/>
          <w:sz w:val="24"/>
          <w:szCs w:val="24"/>
          <w:lang w:val="es-ES_tradnl"/>
        </w:rPr>
        <w:t>a rentabilidad es la principal asignatura pendiente.</w:t>
      </w:r>
      <w:r w:rsidR="00B127BA" w:rsidRPr="00BE20A7">
        <w:rPr>
          <w:sz w:val="24"/>
          <w:szCs w:val="24"/>
          <w:lang w:val="es-ES_tradnl"/>
        </w:rPr>
        <w:t xml:space="preserve"> Una vez más, este dato ha de entenderse dentro del contexto de crisis económica durante los años </w:t>
      </w:r>
      <w:r w:rsidR="00B127BA">
        <w:rPr>
          <w:sz w:val="24"/>
          <w:szCs w:val="24"/>
          <w:lang w:val="es-ES_tradnl"/>
        </w:rPr>
        <w:t>utilizados para el análisis</w:t>
      </w:r>
      <w:r>
        <w:rPr>
          <w:sz w:val="24"/>
          <w:szCs w:val="24"/>
          <w:lang w:val="es-ES_tradnl"/>
        </w:rPr>
        <w:t>, de 2011 a 2013</w:t>
      </w:r>
      <w:r w:rsidR="00B127BA" w:rsidRPr="00BE20A7">
        <w:rPr>
          <w:sz w:val="24"/>
          <w:szCs w:val="24"/>
          <w:lang w:val="es-ES_tradnl"/>
        </w:rPr>
        <w:t xml:space="preserve">. </w:t>
      </w:r>
    </w:p>
    <w:p w:rsidR="002E3C73" w:rsidRDefault="002E3C73" w:rsidP="002E3C73">
      <w:pPr>
        <w:pStyle w:val="Prrafodelista"/>
        <w:spacing w:line="360" w:lineRule="auto"/>
        <w:ind w:left="0"/>
        <w:jc w:val="both"/>
        <w:rPr>
          <w:sz w:val="24"/>
          <w:szCs w:val="24"/>
          <w:lang w:val="es-ES_tradnl"/>
        </w:rPr>
      </w:pPr>
    </w:p>
    <w:p w:rsidR="00B127BA" w:rsidRDefault="002E3C73" w:rsidP="002E3C73">
      <w:pPr>
        <w:pStyle w:val="Prrafodelista"/>
        <w:spacing w:line="360" w:lineRule="auto"/>
        <w:ind w:left="0"/>
        <w:jc w:val="both"/>
        <w:rPr>
          <w:sz w:val="24"/>
          <w:szCs w:val="24"/>
          <w:lang w:val="es-ES_tradnl"/>
        </w:rPr>
      </w:pPr>
      <w:r w:rsidRPr="00BE20A7">
        <w:rPr>
          <w:sz w:val="24"/>
          <w:szCs w:val="24"/>
          <w:lang w:val="es-ES_tradnl"/>
        </w:rPr>
        <w:t xml:space="preserve">Un elemento clave en la consolidación de los centros como centros robustos en materia financiera parece ser </w:t>
      </w:r>
      <w:r w:rsidR="002E0102">
        <w:rPr>
          <w:sz w:val="24"/>
          <w:szCs w:val="24"/>
          <w:lang w:val="es-ES_tradnl"/>
        </w:rPr>
        <w:t>su</w:t>
      </w:r>
      <w:r w:rsidRPr="00BE20A7">
        <w:rPr>
          <w:sz w:val="24"/>
          <w:szCs w:val="24"/>
          <w:lang w:val="es-ES_tradnl"/>
        </w:rPr>
        <w:t xml:space="preserve"> antigüedad. La experiencia y los años de actividad acumulados</w:t>
      </w:r>
      <w:r w:rsidR="002E0102">
        <w:rPr>
          <w:sz w:val="24"/>
          <w:szCs w:val="24"/>
          <w:lang w:val="es-ES_tradnl"/>
        </w:rPr>
        <w:t xml:space="preserve"> </w:t>
      </w:r>
      <w:r>
        <w:rPr>
          <w:sz w:val="24"/>
          <w:szCs w:val="24"/>
          <w:lang w:val="es-ES_tradnl"/>
        </w:rPr>
        <w:t>parecen ser</w:t>
      </w:r>
      <w:r w:rsidRPr="00BE20A7">
        <w:rPr>
          <w:sz w:val="24"/>
          <w:szCs w:val="24"/>
          <w:lang w:val="es-ES_tradnl"/>
        </w:rPr>
        <w:t xml:space="preserve"> clave para que los centros especiales de empleo se convirtieran en empresas robustas en materia financiera. Esta conclusión lleva a </w:t>
      </w:r>
      <w:r w:rsidR="002E0102">
        <w:rPr>
          <w:sz w:val="24"/>
          <w:szCs w:val="24"/>
          <w:lang w:val="es-ES_tradnl"/>
        </w:rPr>
        <w:t>resaltar</w:t>
      </w:r>
      <w:r w:rsidRPr="00BE20A7">
        <w:rPr>
          <w:sz w:val="24"/>
          <w:szCs w:val="24"/>
          <w:lang w:val="es-ES_tradnl"/>
        </w:rPr>
        <w:t xml:space="preserve"> la importancia y necesidad de apoyar a los centros especiales de empleo en </w:t>
      </w:r>
      <w:r>
        <w:rPr>
          <w:sz w:val="24"/>
          <w:szCs w:val="24"/>
          <w:lang w:val="es-ES_tradnl"/>
        </w:rPr>
        <w:t xml:space="preserve">los </w:t>
      </w:r>
      <w:r w:rsidRPr="00BE20A7">
        <w:rPr>
          <w:sz w:val="24"/>
          <w:szCs w:val="24"/>
          <w:lang w:val="es-ES_tradnl"/>
        </w:rPr>
        <w:t xml:space="preserve">comienzos </w:t>
      </w:r>
      <w:r>
        <w:rPr>
          <w:sz w:val="24"/>
          <w:szCs w:val="24"/>
          <w:lang w:val="es-ES_tradnl"/>
        </w:rPr>
        <w:t xml:space="preserve">del desarrollo de su actividad </w:t>
      </w:r>
      <w:r w:rsidRPr="00BE20A7">
        <w:rPr>
          <w:sz w:val="24"/>
          <w:szCs w:val="24"/>
          <w:lang w:val="es-ES_tradnl"/>
        </w:rPr>
        <w:t>hasta que se consolidan como centros empresa</w:t>
      </w:r>
      <w:r>
        <w:rPr>
          <w:sz w:val="24"/>
          <w:szCs w:val="24"/>
          <w:lang w:val="es-ES_tradnl"/>
        </w:rPr>
        <w:t xml:space="preserve">riales y creadores de negocio. </w:t>
      </w:r>
    </w:p>
    <w:p w:rsidR="00217F4D" w:rsidRDefault="00217F4D" w:rsidP="00B127BA">
      <w:pPr>
        <w:spacing w:line="360" w:lineRule="auto"/>
        <w:jc w:val="both"/>
        <w:rPr>
          <w:sz w:val="24"/>
          <w:szCs w:val="24"/>
          <w:lang w:val="es-ES_tradnl"/>
        </w:rPr>
      </w:pPr>
    </w:p>
    <w:p w:rsidR="002E3C73" w:rsidRDefault="00B127BA" w:rsidP="004A4CA4">
      <w:pPr>
        <w:spacing w:line="360" w:lineRule="auto"/>
        <w:jc w:val="both"/>
        <w:rPr>
          <w:sz w:val="24"/>
          <w:szCs w:val="24"/>
          <w:lang w:val="es-ES_tradnl"/>
        </w:rPr>
      </w:pPr>
      <w:r w:rsidRPr="00E63B22">
        <w:rPr>
          <w:b/>
          <w:sz w:val="24"/>
          <w:szCs w:val="24"/>
          <w:lang w:val="es-ES_tradnl"/>
        </w:rPr>
        <w:t xml:space="preserve">Los </w:t>
      </w:r>
      <w:r w:rsidR="007E339E" w:rsidRPr="00E63B22">
        <w:rPr>
          <w:b/>
          <w:sz w:val="24"/>
          <w:szCs w:val="24"/>
          <w:lang w:val="es-ES_tradnl"/>
        </w:rPr>
        <w:t>centros</w:t>
      </w:r>
      <w:r w:rsidRPr="00E63B22">
        <w:rPr>
          <w:b/>
          <w:sz w:val="24"/>
          <w:szCs w:val="24"/>
          <w:lang w:val="es-ES_tradnl"/>
        </w:rPr>
        <w:t xml:space="preserve"> de iniciativa social son, en general y de acuerdo a la información disponible, más solventes y tienen menor endeudamiento. Los de </w:t>
      </w:r>
      <w:r w:rsidR="003D6D08" w:rsidRPr="00E63B22">
        <w:rPr>
          <w:b/>
          <w:sz w:val="24"/>
          <w:szCs w:val="24"/>
          <w:lang w:val="es-ES_tradnl"/>
        </w:rPr>
        <w:t>iniciativa empresarial</w:t>
      </w:r>
      <w:r w:rsidRPr="00E63B22">
        <w:rPr>
          <w:b/>
          <w:sz w:val="24"/>
          <w:szCs w:val="24"/>
          <w:lang w:val="es-ES_tradnl"/>
        </w:rPr>
        <w:t xml:space="preserve">, </w:t>
      </w:r>
      <w:r w:rsidR="009221D4" w:rsidRPr="00E63B22">
        <w:rPr>
          <w:b/>
          <w:sz w:val="24"/>
          <w:szCs w:val="24"/>
          <w:lang w:val="es-ES_tradnl"/>
        </w:rPr>
        <w:t>por su parte</w:t>
      </w:r>
      <w:r w:rsidRPr="00E63B22">
        <w:rPr>
          <w:b/>
          <w:sz w:val="24"/>
          <w:szCs w:val="24"/>
          <w:lang w:val="es-ES_tradnl"/>
        </w:rPr>
        <w:t>, consiguen un mejor resultado en lo relacionado con la fact</w:t>
      </w:r>
      <w:r w:rsidR="009221D4" w:rsidRPr="00E63B22">
        <w:rPr>
          <w:b/>
          <w:sz w:val="24"/>
          <w:szCs w:val="24"/>
          <w:lang w:val="es-ES_tradnl"/>
        </w:rPr>
        <w:t>uración media de sus empleados.</w:t>
      </w:r>
      <w:r w:rsidR="009221D4">
        <w:rPr>
          <w:sz w:val="24"/>
          <w:szCs w:val="24"/>
          <w:lang w:val="es-ES_tradnl"/>
        </w:rPr>
        <w:t xml:space="preserve"> Algunas de las diferencias entre los centros de una u otra estructura de la propiedad pueden tener una explicación</w:t>
      </w:r>
      <w:r w:rsidR="002E3C73">
        <w:rPr>
          <w:sz w:val="24"/>
          <w:szCs w:val="24"/>
          <w:lang w:val="es-ES_tradnl"/>
        </w:rPr>
        <w:t>, precisamente,</w:t>
      </w:r>
      <w:r w:rsidR="009221D4">
        <w:rPr>
          <w:sz w:val="24"/>
          <w:szCs w:val="24"/>
          <w:lang w:val="es-ES_tradnl"/>
        </w:rPr>
        <w:t xml:space="preserve"> en los años de actividad. </w:t>
      </w:r>
      <w:r w:rsidR="009221D4" w:rsidRPr="00BE20A7">
        <w:rPr>
          <w:sz w:val="24"/>
          <w:szCs w:val="24"/>
          <w:lang w:val="es-ES_tradnl"/>
        </w:rPr>
        <w:t xml:space="preserve">Los de </w:t>
      </w:r>
      <w:r w:rsidR="009221D4">
        <w:rPr>
          <w:sz w:val="24"/>
          <w:szCs w:val="24"/>
          <w:lang w:val="es-ES_tradnl"/>
        </w:rPr>
        <w:t>iniciativa empresarial</w:t>
      </w:r>
      <w:r w:rsidR="009221D4" w:rsidRPr="00BE20A7">
        <w:rPr>
          <w:sz w:val="24"/>
          <w:szCs w:val="24"/>
          <w:lang w:val="es-ES_tradnl"/>
        </w:rPr>
        <w:t xml:space="preserve"> son de creación más reciente que los de iniciativa social: sólo el 40% de los primeros tiene una antigüedad de 10 o más años, mientras que el 65% de los de iniciativa social cumplen con esta característica.</w:t>
      </w:r>
    </w:p>
    <w:p w:rsidR="002E3C73" w:rsidRPr="00BE20A7" w:rsidRDefault="002E3C73" w:rsidP="002E3C73">
      <w:pPr>
        <w:pStyle w:val="Prrafodelista"/>
        <w:spacing w:line="360" w:lineRule="auto"/>
        <w:ind w:left="0"/>
        <w:jc w:val="both"/>
        <w:rPr>
          <w:sz w:val="24"/>
          <w:szCs w:val="24"/>
          <w:lang w:val="es-ES_tradnl"/>
        </w:rPr>
      </w:pPr>
    </w:p>
    <w:p w:rsidR="002E3C73" w:rsidRPr="00BE20A7" w:rsidRDefault="002E3C73" w:rsidP="002E3C73">
      <w:pPr>
        <w:pStyle w:val="Prrafodelista"/>
        <w:spacing w:line="360" w:lineRule="auto"/>
        <w:ind w:left="0"/>
        <w:jc w:val="both"/>
        <w:rPr>
          <w:sz w:val="24"/>
          <w:szCs w:val="24"/>
          <w:lang w:val="es-ES_tradnl"/>
        </w:rPr>
      </w:pPr>
      <w:r w:rsidRPr="00BE20A7">
        <w:rPr>
          <w:sz w:val="24"/>
          <w:szCs w:val="24"/>
          <w:lang w:val="es-ES_tradnl"/>
        </w:rPr>
        <w:t xml:space="preserve">Los aspectos financieros parecen, a su vez, afectar positivamente el desempeño de los centros en el ámbito de impacto social. Este proceso de </w:t>
      </w:r>
      <w:r w:rsidRPr="00BE20A7">
        <w:rPr>
          <w:i/>
          <w:sz w:val="24"/>
          <w:szCs w:val="24"/>
          <w:lang w:val="es-ES_tradnl"/>
        </w:rPr>
        <w:t>feedback</w:t>
      </w:r>
      <w:r w:rsidRPr="00BE20A7">
        <w:rPr>
          <w:sz w:val="24"/>
          <w:szCs w:val="24"/>
          <w:lang w:val="es-ES_tradnl"/>
        </w:rPr>
        <w:t xml:space="preserve"> se observa claramente en la relación positiva entre la liquidez de los centros y los salarios que ofrecen a sus empleados. </w:t>
      </w:r>
    </w:p>
    <w:p w:rsidR="002E3C73" w:rsidRPr="00BE20A7" w:rsidRDefault="002E3C73" w:rsidP="002E3C73">
      <w:pPr>
        <w:pStyle w:val="Prrafodelista"/>
        <w:spacing w:line="360" w:lineRule="auto"/>
        <w:ind w:left="0"/>
        <w:jc w:val="both"/>
        <w:rPr>
          <w:sz w:val="24"/>
          <w:szCs w:val="24"/>
          <w:lang w:val="es-ES_tradnl"/>
        </w:rPr>
      </w:pPr>
    </w:p>
    <w:p w:rsidR="002E3C73" w:rsidRDefault="002E3C73" w:rsidP="002E3C73">
      <w:pPr>
        <w:autoSpaceDE w:val="0"/>
        <w:autoSpaceDN w:val="0"/>
        <w:spacing w:line="360" w:lineRule="auto"/>
        <w:jc w:val="both"/>
        <w:rPr>
          <w:sz w:val="24"/>
          <w:szCs w:val="24"/>
          <w:lang w:val="es-ES_tradnl"/>
        </w:rPr>
      </w:pPr>
      <w:r w:rsidRPr="00BE20A7">
        <w:rPr>
          <w:sz w:val="24"/>
          <w:szCs w:val="24"/>
          <w:lang w:val="es-ES_tradnl"/>
        </w:rPr>
        <w:t xml:space="preserve">Otra conclusión del análisis es que los centros especiales de empleo </w:t>
      </w:r>
      <w:r w:rsidR="00FF35C2" w:rsidRPr="00FF35C2">
        <w:rPr>
          <w:sz w:val="24"/>
          <w:szCs w:val="24"/>
          <w:lang w:val="es-ES_tradnl"/>
        </w:rPr>
        <w:t xml:space="preserve">de Castilla y León generan un enorme impacto social. Los resultados del análisis muestran que, en esta materia, los centros van más allá de lo establecido por la ley en lo que se refiere a la integración de las personas con discapacidad. De todos los ámbitos evaluados, destaca especialmente el empleo. </w:t>
      </w:r>
      <w:r w:rsidR="00FF35C2" w:rsidRPr="00E63B22">
        <w:rPr>
          <w:b/>
          <w:sz w:val="24"/>
          <w:szCs w:val="24"/>
          <w:lang w:val="es-ES_tradnl"/>
        </w:rPr>
        <w:t xml:space="preserve">El ratio medio de personas con discapacidad </w:t>
      </w:r>
      <w:r w:rsidR="00E63B22" w:rsidRPr="00E63B22">
        <w:rPr>
          <w:b/>
          <w:sz w:val="24"/>
          <w:szCs w:val="24"/>
          <w:lang w:val="es-ES_tradnl"/>
        </w:rPr>
        <w:t xml:space="preserve">empleadas por centros </w:t>
      </w:r>
      <w:r w:rsidR="00FF35C2" w:rsidRPr="00E63B22">
        <w:rPr>
          <w:b/>
          <w:sz w:val="24"/>
          <w:szCs w:val="24"/>
          <w:lang w:val="es-ES_tradnl"/>
        </w:rPr>
        <w:t>se sitúa muy por encima del 70% exigible</w:t>
      </w:r>
      <w:r w:rsidR="00B64529">
        <w:rPr>
          <w:b/>
          <w:sz w:val="24"/>
          <w:szCs w:val="24"/>
          <w:lang w:val="es-ES_tradnl"/>
        </w:rPr>
        <w:t xml:space="preserve"> para poder ser CEE</w:t>
      </w:r>
      <w:r w:rsidR="00FF35C2">
        <w:rPr>
          <w:sz w:val="24"/>
          <w:szCs w:val="24"/>
          <w:lang w:val="es-ES_tradnl"/>
        </w:rPr>
        <w:t xml:space="preserve">. </w:t>
      </w:r>
      <w:r w:rsidRPr="00BE20A7">
        <w:rPr>
          <w:sz w:val="24"/>
          <w:szCs w:val="24"/>
          <w:lang w:val="es-ES_tradnl"/>
        </w:rPr>
        <w:t xml:space="preserve">Estos datos </w:t>
      </w:r>
      <w:r w:rsidR="00FF35C2">
        <w:rPr>
          <w:sz w:val="24"/>
          <w:szCs w:val="24"/>
          <w:lang w:val="es-ES_tradnl"/>
        </w:rPr>
        <w:t>ponen de manifiesto</w:t>
      </w:r>
      <w:r w:rsidRPr="00BE20A7">
        <w:rPr>
          <w:sz w:val="24"/>
          <w:szCs w:val="24"/>
          <w:lang w:val="es-ES_tradnl"/>
        </w:rPr>
        <w:t xml:space="preserve"> el enorme compromiso de los centros con la labor social que desarrollan</w:t>
      </w:r>
      <w:r w:rsidR="00FF35C2">
        <w:rPr>
          <w:sz w:val="24"/>
          <w:szCs w:val="24"/>
          <w:lang w:val="es-ES_tradnl"/>
        </w:rPr>
        <w:t xml:space="preserve"> y con el colectivo de las personas con discapacidad.</w:t>
      </w:r>
    </w:p>
    <w:p w:rsidR="00FF35C2" w:rsidRDefault="00FF35C2" w:rsidP="002E3C73">
      <w:pPr>
        <w:autoSpaceDE w:val="0"/>
        <w:autoSpaceDN w:val="0"/>
        <w:spacing w:line="360" w:lineRule="auto"/>
        <w:jc w:val="both"/>
        <w:rPr>
          <w:sz w:val="24"/>
          <w:szCs w:val="24"/>
          <w:lang w:val="es-ES_tradnl"/>
        </w:rPr>
      </w:pPr>
    </w:p>
    <w:p w:rsidR="00FF35C2" w:rsidRDefault="00FF35C2" w:rsidP="002E3C73">
      <w:pPr>
        <w:autoSpaceDE w:val="0"/>
        <w:autoSpaceDN w:val="0"/>
        <w:spacing w:line="360" w:lineRule="auto"/>
        <w:jc w:val="both"/>
        <w:rPr>
          <w:sz w:val="24"/>
          <w:szCs w:val="24"/>
          <w:lang w:val="es-ES_tradnl"/>
        </w:rPr>
      </w:pPr>
      <w:r w:rsidRPr="00BE20A7">
        <w:rPr>
          <w:sz w:val="24"/>
          <w:szCs w:val="24"/>
          <w:lang w:val="es-ES_tradnl"/>
        </w:rPr>
        <w:t xml:space="preserve">El tipo de estructura de la propiedad parece afectar también al volumen de empleo de las personas con discapacidad. </w:t>
      </w:r>
      <w:r w:rsidRPr="00E63B22">
        <w:rPr>
          <w:b/>
          <w:sz w:val="24"/>
          <w:szCs w:val="24"/>
          <w:lang w:val="es-ES_tradnl"/>
        </w:rPr>
        <w:t xml:space="preserve">Los centros de iniciativa social tienen un mayor tamaño en número de empleados que los centros de iniciativa privada. Esta diferencia es aún más pronunciada si hablamos de personas con </w:t>
      </w:r>
      <w:r w:rsidR="00F72EDA" w:rsidRPr="00E63B22">
        <w:rPr>
          <w:b/>
          <w:sz w:val="24"/>
          <w:szCs w:val="24"/>
          <w:lang w:val="es-ES_tradnl"/>
        </w:rPr>
        <w:t>especiales dificultades.</w:t>
      </w:r>
    </w:p>
    <w:p w:rsidR="002E3C73" w:rsidRPr="00FF35C2" w:rsidRDefault="002E3C73" w:rsidP="002E3C73">
      <w:pPr>
        <w:spacing w:line="360" w:lineRule="auto"/>
        <w:jc w:val="both"/>
        <w:rPr>
          <w:sz w:val="24"/>
          <w:szCs w:val="24"/>
          <w:lang w:val="es-ES_tradnl"/>
        </w:rPr>
      </w:pPr>
    </w:p>
    <w:p w:rsidR="002E3C73" w:rsidRDefault="00AB65FB" w:rsidP="002E3C73">
      <w:pPr>
        <w:spacing w:line="360" w:lineRule="auto"/>
        <w:jc w:val="both"/>
        <w:rPr>
          <w:sz w:val="24"/>
          <w:szCs w:val="24"/>
          <w:lang w:val="es-ES_tradnl"/>
        </w:rPr>
      </w:pPr>
      <w:r>
        <w:rPr>
          <w:sz w:val="24"/>
          <w:szCs w:val="24"/>
          <w:lang w:val="es-ES_tradnl"/>
        </w:rPr>
        <w:t>El sector en su conjunto también obtiene</w:t>
      </w:r>
      <w:r w:rsidR="002E3C73" w:rsidRPr="00FF35C2">
        <w:rPr>
          <w:sz w:val="24"/>
          <w:szCs w:val="24"/>
          <w:lang w:val="es-ES_tradnl"/>
        </w:rPr>
        <w:t xml:space="preserve"> resultados muy positivos en el ámbito de la estabilidad del empleo, la equidad salarial y el apoyo a las personas con especiales dificultades. </w:t>
      </w:r>
      <w:r w:rsidR="002E3C73" w:rsidRPr="007C37D5">
        <w:rPr>
          <w:b/>
          <w:sz w:val="24"/>
          <w:szCs w:val="24"/>
          <w:lang w:val="es-ES_tradnl"/>
        </w:rPr>
        <w:t xml:space="preserve">Es especialmente significativo que el 63% de </w:t>
      </w:r>
      <w:r w:rsidRPr="007C37D5">
        <w:rPr>
          <w:b/>
          <w:sz w:val="24"/>
          <w:szCs w:val="24"/>
          <w:lang w:val="es-ES_tradnl"/>
        </w:rPr>
        <w:t xml:space="preserve">los centros </w:t>
      </w:r>
      <w:r w:rsidR="002E3C73" w:rsidRPr="007C37D5">
        <w:rPr>
          <w:b/>
          <w:sz w:val="24"/>
          <w:szCs w:val="24"/>
          <w:lang w:val="es-ES_tradnl"/>
        </w:rPr>
        <w:t>tenga a más del 60% de sus empleados con discapacidad con contrato indefinido</w:t>
      </w:r>
      <w:r w:rsidR="00E13561">
        <w:rPr>
          <w:b/>
          <w:sz w:val="24"/>
          <w:szCs w:val="24"/>
          <w:lang w:val="es-ES_tradnl"/>
        </w:rPr>
        <w:t>.</w:t>
      </w:r>
    </w:p>
    <w:p w:rsidR="00E13561" w:rsidRPr="00FF35C2" w:rsidRDefault="00E13561" w:rsidP="002E3C73">
      <w:pPr>
        <w:spacing w:line="360" w:lineRule="auto"/>
        <w:jc w:val="both"/>
        <w:rPr>
          <w:sz w:val="24"/>
          <w:szCs w:val="24"/>
          <w:lang w:val="es-ES_tradnl"/>
        </w:rPr>
      </w:pPr>
    </w:p>
    <w:p w:rsidR="002E3C73" w:rsidRDefault="002E3C73" w:rsidP="002E3C73">
      <w:pPr>
        <w:spacing w:line="360" w:lineRule="auto"/>
        <w:jc w:val="both"/>
        <w:rPr>
          <w:sz w:val="24"/>
          <w:szCs w:val="24"/>
          <w:lang w:val="es-ES_tradnl"/>
        </w:rPr>
      </w:pPr>
      <w:r w:rsidRPr="007C37D5">
        <w:rPr>
          <w:b/>
          <w:sz w:val="24"/>
          <w:szCs w:val="24"/>
          <w:lang w:val="es-ES_tradnl"/>
        </w:rPr>
        <w:t xml:space="preserve">En lo que se refiere a la creación y calidad del empleo, es llamativo que, en un contexto de intensa crisis económica, el 31% de los </w:t>
      </w:r>
      <w:r w:rsidR="002E0102" w:rsidRPr="007C37D5">
        <w:rPr>
          <w:b/>
          <w:sz w:val="24"/>
          <w:szCs w:val="24"/>
          <w:lang w:val="es-ES_tradnl"/>
        </w:rPr>
        <w:t xml:space="preserve">centros especiales de empleo </w:t>
      </w:r>
      <w:r w:rsidRPr="007C37D5">
        <w:rPr>
          <w:b/>
          <w:sz w:val="24"/>
          <w:szCs w:val="24"/>
          <w:lang w:val="es-ES_tradnl"/>
        </w:rPr>
        <w:t>haya conseguido crear nuevos puestos de trabajo en el periodo analizado</w:t>
      </w:r>
      <w:r w:rsidRPr="00FF35C2">
        <w:rPr>
          <w:sz w:val="24"/>
          <w:szCs w:val="24"/>
          <w:lang w:val="es-ES_tradnl"/>
        </w:rPr>
        <w:t xml:space="preserve">. De la misma forma, un 33% de los centros aumentaron el porcentaje de empleados con </w:t>
      </w:r>
      <w:r w:rsidR="00E97A37">
        <w:rPr>
          <w:sz w:val="24"/>
          <w:szCs w:val="24"/>
          <w:lang w:val="es-ES_tradnl"/>
        </w:rPr>
        <w:t>contrato indefinido</w:t>
      </w:r>
      <w:r w:rsidRPr="00FF35C2">
        <w:rPr>
          <w:sz w:val="24"/>
          <w:szCs w:val="24"/>
          <w:lang w:val="es-ES_tradnl"/>
        </w:rPr>
        <w:t xml:space="preserve">. </w:t>
      </w:r>
      <w:r w:rsidR="00E97A37">
        <w:rPr>
          <w:sz w:val="24"/>
          <w:szCs w:val="24"/>
          <w:lang w:val="es-ES_tradnl"/>
        </w:rPr>
        <w:t>También se</w:t>
      </w:r>
      <w:r w:rsidRPr="00FF35C2">
        <w:rPr>
          <w:sz w:val="24"/>
          <w:szCs w:val="24"/>
          <w:lang w:val="es-ES_tradnl"/>
        </w:rPr>
        <w:t xml:space="preserve"> obtiene </w:t>
      </w:r>
      <w:r w:rsidR="00E97A37">
        <w:rPr>
          <w:sz w:val="24"/>
          <w:szCs w:val="24"/>
          <w:lang w:val="es-ES_tradnl"/>
        </w:rPr>
        <w:t xml:space="preserve">un resultado positivo </w:t>
      </w:r>
      <w:r w:rsidRPr="00FF35C2">
        <w:rPr>
          <w:sz w:val="24"/>
          <w:szCs w:val="24"/>
          <w:lang w:val="es-ES_tradnl"/>
        </w:rPr>
        <w:t>en lo que se refiere a la equidad salarial. Según la Muestra Continua de Vida Laboral, el salario medio anual de las personas con discapacidad es de 12.000€. El salario medio de los CEEs de Castilla y León</w:t>
      </w:r>
      <w:r w:rsidR="00DB0668">
        <w:rPr>
          <w:sz w:val="24"/>
          <w:szCs w:val="24"/>
          <w:lang w:val="es-ES_tradnl"/>
        </w:rPr>
        <w:t xml:space="preserve"> es de 1,41 veces este salario.</w:t>
      </w:r>
    </w:p>
    <w:p w:rsidR="00FF35C2" w:rsidRDefault="00FF35C2" w:rsidP="002E3C73">
      <w:pPr>
        <w:spacing w:line="360" w:lineRule="auto"/>
        <w:jc w:val="both"/>
        <w:rPr>
          <w:sz w:val="24"/>
          <w:szCs w:val="24"/>
          <w:lang w:val="es-ES_tradnl"/>
        </w:rPr>
      </w:pPr>
    </w:p>
    <w:p w:rsidR="001863A6" w:rsidRDefault="00FF35C2" w:rsidP="00B127BA">
      <w:pPr>
        <w:spacing w:line="360" w:lineRule="auto"/>
        <w:jc w:val="both"/>
        <w:rPr>
          <w:sz w:val="24"/>
          <w:szCs w:val="24"/>
          <w:lang w:val="es-ES_tradnl"/>
        </w:rPr>
      </w:pPr>
      <w:r w:rsidRPr="00BE20A7">
        <w:rPr>
          <w:sz w:val="24"/>
          <w:szCs w:val="24"/>
          <w:lang w:val="es-ES_tradnl"/>
        </w:rPr>
        <w:t>En cuanto al ámbito de dina</w:t>
      </w:r>
      <w:r w:rsidR="00381B1F">
        <w:rPr>
          <w:sz w:val="24"/>
          <w:szCs w:val="24"/>
          <w:lang w:val="es-ES_tradnl"/>
        </w:rPr>
        <w:t>mización rural</w:t>
      </w:r>
      <w:r w:rsidRPr="00BE20A7">
        <w:rPr>
          <w:sz w:val="24"/>
          <w:szCs w:val="24"/>
          <w:lang w:val="es-ES_tradnl"/>
        </w:rPr>
        <w:t xml:space="preserve">, el análisis muestra que la mayoría de los centros especiales de empleo (el 64%) y la mayoría del empleo de personas con discapacidad (el 75%) se sitúa en áreas urbanas. Aunque hay diferencias notables en este aspecto entre sectores, la tendencia de los centros es la de establecerse en áreas urbanas. </w:t>
      </w:r>
    </w:p>
    <w:p w:rsidR="002E0102" w:rsidRDefault="002E0102" w:rsidP="00B127BA">
      <w:pPr>
        <w:spacing w:line="360" w:lineRule="auto"/>
        <w:jc w:val="both"/>
        <w:rPr>
          <w:sz w:val="24"/>
          <w:szCs w:val="24"/>
          <w:lang w:val="es-ES_tradnl"/>
        </w:rPr>
      </w:pPr>
    </w:p>
    <w:p w:rsidR="00B127BA" w:rsidRDefault="00B127BA" w:rsidP="00B127BA">
      <w:pPr>
        <w:spacing w:line="360" w:lineRule="auto"/>
        <w:jc w:val="both"/>
        <w:rPr>
          <w:sz w:val="24"/>
          <w:szCs w:val="24"/>
          <w:lang w:val="es-ES_tradnl"/>
        </w:rPr>
      </w:pPr>
      <w:r w:rsidRPr="007C37D5">
        <w:rPr>
          <w:b/>
          <w:sz w:val="24"/>
          <w:szCs w:val="24"/>
          <w:lang w:val="es-ES_tradnl"/>
        </w:rPr>
        <w:t xml:space="preserve">El análisis muestra que, en general, los </w:t>
      </w:r>
      <w:r w:rsidR="007E339E" w:rsidRPr="007C37D5">
        <w:rPr>
          <w:b/>
          <w:sz w:val="24"/>
          <w:szCs w:val="24"/>
          <w:lang w:val="es-ES_tradnl"/>
        </w:rPr>
        <w:t>centros especiales de empleo trabajan en</w:t>
      </w:r>
      <w:r w:rsidRPr="007C37D5">
        <w:rPr>
          <w:b/>
          <w:sz w:val="24"/>
          <w:szCs w:val="24"/>
          <w:lang w:val="es-ES_tradnl"/>
        </w:rPr>
        <w:t xml:space="preserve"> sectores cuyo potencial competitivo no es demasiado alto</w:t>
      </w:r>
      <w:r w:rsidR="0054286A" w:rsidRPr="007C37D5">
        <w:rPr>
          <w:b/>
          <w:sz w:val="24"/>
          <w:szCs w:val="24"/>
          <w:lang w:val="es-ES_tradnl"/>
        </w:rPr>
        <w:t>.</w:t>
      </w:r>
      <w:r w:rsidR="007E339E">
        <w:rPr>
          <w:sz w:val="24"/>
          <w:szCs w:val="24"/>
          <w:lang w:val="es-ES_tradnl"/>
        </w:rPr>
        <w:t xml:space="preserve"> </w:t>
      </w:r>
      <w:r w:rsidRPr="00BE20A7">
        <w:rPr>
          <w:sz w:val="24"/>
          <w:szCs w:val="24"/>
          <w:lang w:val="es-ES_tradnl"/>
        </w:rPr>
        <w:t xml:space="preserve">Los mejores resultados de posición competitiva </w:t>
      </w:r>
      <w:r w:rsidR="007E339E">
        <w:rPr>
          <w:sz w:val="24"/>
          <w:szCs w:val="24"/>
          <w:lang w:val="es-ES_tradnl"/>
        </w:rPr>
        <w:t xml:space="preserve">los obtienen </w:t>
      </w:r>
      <w:r w:rsidRPr="00BE20A7">
        <w:rPr>
          <w:sz w:val="24"/>
          <w:szCs w:val="24"/>
          <w:lang w:val="es-ES_tradnl"/>
        </w:rPr>
        <w:t xml:space="preserve">en los ámbitos </w:t>
      </w:r>
      <w:r w:rsidR="007E339E">
        <w:rPr>
          <w:sz w:val="24"/>
          <w:szCs w:val="24"/>
          <w:lang w:val="es-ES_tradnl"/>
        </w:rPr>
        <w:t xml:space="preserve">relacionados con el </w:t>
      </w:r>
      <w:r w:rsidRPr="00BE20A7">
        <w:rPr>
          <w:sz w:val="24"/>
          <w:szCs w:val="24"/>
          <w:lang w:val="es-ES_tradnl"/>
        </w:rPr>
        <w:t>potencial de crecimiento</w:t>
      </w:r>
      <w:r w:rsidR="007E339E">
        <w:rPr>
          <w:sz w:val="24"/>
          <w:szCs w:val="24"/>
          <w:lang w:val="es-ES_tradnl"/>
        </w:rPr>
        <w:t xml:space="preserve"> del sector</w:t>
      </w:r>
      <w:r w:rsidRPr="00BE20A7">
        <w:rPr>
          <w:sz w:val="24"/>
          <w:szCs w:val="24"/>
          <w:lang w:val="es-ES_tradnl"/>
        </w:rPr>
        <w:t xml:space="preserve">, </w:t>
      </w:r>
      <w:r w:rsidR="007E339E">
        <w:rPr>
          <w:sz w:val="24"/>
          <w:szCs w:val="24"/>
          <w:lang w:val="es-ES_tradnl"/>
        </w:rPr>
        <w:t xml:space="preserve">la </w:t>
      </w:r>
      <w:r w:rsidRPr="00BE20A7">
        <w:rPr>
          <w:sz w:val="24"/>
          <w:szCs w:val="24"/>
          <w:lang w:val="es-ES_tradnl"/>
        </w:rPr>
        <w:t xml:space="preserve">evolución de las ventas y la consistencia en los resultados. La mitad de los </w:t>
      </w:r>
      <w:r w:rsidR="001863A6">
        <w:rPr>
          <w:sz w:val="24"/>
          <w:szCs w:val="24"/>
          <w:lang w:val="es-ES_tradnl"/>
        </w:rPr>
        <w:t xml:space="preserve">centros </w:t>
      </w:r>
      <w:r w:rsidRPr="00BE20A7">
        <w:rPr>
          <w:sz w:val="24"/>
          <w:szCs w:val="24"/>
          <w:lang w:val="es-ES_tradnl"/>
        </w:rPr>
        <w:t xml:space="preserve">analizados desarrollan actividades de </w:t>
      </w:r>
      <w:r>
        <w:rPr>
          <w:sz w:val="24"/>
          <w:szCs w:val="24"/>
          <w:lang w:val="es-ES_tradnl"/>
        </w:rPr>
        <w:t xml:space="preserve">elevado </w:t>
      </w:r>
      <w:r w:rsidRPr="00BE20A7">
        <w:rPr>
          <w:sz w:val="24"/>
          <w:szCs w:val="24"/>
          <w:lang w:val="es-ES_tradnl"/>
        </w:rPr>
        <w:t xml:space="preserve">potencial de crecimiento. Asimismo, casi la mitad </w:t>
      </w:r>
      <w:r w:rsidR="00233D46">
        <w:rPr>
          <w:sz w:val="24"/>
          <w:szCs w:val="24"/>
          <w:lang w:val="es-ES_tradnl"/>
        </w:rPr>
        <w:t>de los centros analizados consiguieron</w:t>
      </w:r>
      <w:r w:rsidRPr="00BE20A7">
        <w:rPr>
          <w:sz w:val="24"/>
          <w:szCs w:val="24"/>
          <w:lang w:val="es-ES_tradnl"/>
        </w:rPr>
        <w:t xml:space="preserve"> una evolución positiva de las ventas en el periodo </w:t>
      </w:r>
      <w:r w:rsidR="00632463">
        <w:rPr>
          <w:sz w:val="24"/>
          <w:szCs w:val="24"/>
          <w:lang w:val="es-ES_tradnl"/>
        </w:rPr>
        <w:t>analizado</w:t>
      </w:r>
      <w:r w:rsidRPr="00BE20A7">
        <w:rPr>
          <w:sz w:val="24"/>
          <w:szCs w:val="24"/>
          <w:lang w:val="es-ES_tradnl"/>
        </w:rPr>
        <w:t xml:space="preserve">, y </w:t>
      </w:r>
      <w:r w:rsidR="00217F4D">
        <w:rPr>
          <w:sz w:val="24"/>
          <w:szCs w:val="24"/>
          <w:lang w:val="es-ES_tradnl"/>
        </w:rPr>
        <w:t>alrededor de la</w:t>
      </w:r>
      <w:r w:rsidRPr="00BE20A7">
        <w:rPr>
          <w:sz w:val="24"/>
          <w:szCs w:val="24"/>
          <w:lang w:val="es-ES_tradnl"/>
        </w:rPr>
        <w:t xml:space="preserve"> mitad </w:t>
      </w:r>
      <w:r w:rsidR="00233D46">
        <w:rPr>
          <w:sz w:val="24"/>
          <w:szCs w:val="24"/>
          <w:lang w:val="es-ES_tradnl"/>
        </w:rPr>
        <w:t>obtuvieron</w:t>
      </w:r>
      <w:r w:rsidRPr="00BE20A7">
        <w:rPr>
          <w:sz w:val="24"/>
          <w:szCs w:val="24"/>
          <w:lang w:val="es-ES_tradnl"/>
        </w:rPr>
        <w:t xml:space="preserve"> resultados positivos en esos dos años.</w:t>
      </w:r>
      <w:r w:rsidR="00233D46">
        <w:rPr>
          <w:sz w:val="24"/>
          <w:szCs w:val="24"/>
          <w:lang w:val="es-ES_tradnl"/>
        </w:rPr>
        <w:t xml:space="preserve"> </w:t>
      </w:r>
      <w:r w:rsidRPr="00BE20A7">
        <w:rPr>
          <w:sz w:val="24"/>
          <w:szCs w:val="24"/>
          <w:lang w:val="es-ES_tradnl"/>
        </w:rPr>
        <w:t xml:space="preserve">Otro resultado positivo que se extrae de este análisis es que un 21% de los </w:t>
      </w:r>
      <w:r w:rsidR="00632463">
        <w:rPr>
          <w:sz w:val="24"/>
          <w:szCs w:val="24"/>
          <w:lang w:val="es-ES_tradnl"/>
        </w:rPr>
        <w:t>centros especiales de empleo</w:t>
      </w:r>
      <w:r w:rsidR="00632463" w:rsidRPr="00BE20A7">
        <w:rPr>
          <w:sz w:val="24"/>
          <w:szCs w:val="24"/>
          <w:lang w:val="es-ES_tradnl"/>
        </w:rPr>
        <w:t xml:space="preserve"> </w:t>
      </w:r>
      <w:r w:rsidRPr="00BE20A7">
        <w:rPr>
          <w:sz w:val="24"/>
          <w:szCs w:val="24"/>
          <w:lang w:val="es-ES_tradnl"/>
        </w:rPr>
        <w:t xml:space="preserve">analizados desarrolla actividades </w:t>
      </w:r>
      <w:r w:rsidR="00233D46">
        <w:rPr>
          <w:sz w:val="24"/>
          <w:szCs w:val="24"/>
          <w:lang w:val="es-ES_tradnl"/>
        </w:rPr>
        <w:t xml:space="preserve">en sectores </w:t>
      </w:r>
      <w:r w:rsidRPr="00BE20A7">
        <w:rPr>
          <w:sz w:val="24"/>
          <w:szCs w:val="24"/>
          <w:lang w:val="es-ES_tradnl"/>
        </w:rPr>
        <w:t xml:space="preserve">de alto potencial de exportación y </w:t>
      </w:r>
      <w:r w:rsidR="00233D46">
        <w:rPr>
          <w:sz w:val="24"/>
          <w:szCs w:val="24"/>
          <w:lang w:val="es-ES_tradnl"/>
        </w:rPr>
        <w:t xml:space="preserve">que </w:t>
      </w:r>
      <w:r w:rsidRPr="00BE20A7">
        <w:rPr>
          <w:sz w:val="24"/>
          <w:szCs w:val="24"/>
          <w:lang w:val="es-ES_tradnl"/>
        </w:rPr>
        <w:t>un 25% desarrolla actividades</w:t>
      </w:r>
      <w:r w:rsidR="00233D46">
        <w:rPr>
          <w:sz w:val="24"/>
          <w:szCs w:val="24"/>
          <w:lang w:val="es-ES_tradnl"/>
        </w:rPr>
        <w:t xml:space="preserve"> en sectores</w:t>
      </w:r>
      <w:r w:rsidRPr="00BE20A7">
        <w:rPr>
          <w:sz w:val="24"/>
          <w:szCs w:val="24"/>
          <w:lang w:val="es-ES_tradnl"/>
        </w:rPr>
        <w:t xml:space="preserve"> con alta intensidad de inversión en I+D.</w:t>
      </w:r>
    </w:p>
    <w:p w:rsidR="00B127BA" w:rsidRDefault="00B127BA" w:rsidP="00B127BA">
      <w:pPr>
        <w:spacing w:before="360" w:line="360" w:lineRule="auto"/>
        <w:jc w:val="both"/>
        <w:rPr>
          <w:sz w:val="24"/>
          <w:szCs w:val="24"/>
          <w:lang w:val="es-ES_tradnl"/>
        </w:rPr>
      </w:pPr>
      <w:r>
        <w:rPr>
          <w:sz w:val="24"/>
          <w:szCs w:val="24"/>
          <w:lang w:val="es-ES_tradnl"/>
        </w:rPr>
        <w:t>S</w:t>
      </w:r>
      <w:r w:rsidRPr="00BE20A7">
        <w:rPr>
          <w:sz w:val="24"/>
          <w:szCs w:val="24"/>
          <w:lang w:val="es-ES_tradnl"/>
        </w:rPr>
        <w:t>e aprecian</w:t>
      </w:r>
      <w:r>
        <w:rPr>
          <w:sz w:val="24"/>
          <w:szCs w:val="24"/>
          <w:lang w:val="es-ES_tradnl"/>
        </w:rPr>
        <w:t xml:space="preserve"> diferencias</w:t>
      </w:r>
      <w:r w:rsidRPr="00BE20A7">
        <w:rPr>
          <w:sz w:val="24"/>
          <w:szCs w:val="24"/>
          <w:lang w:val="es-ES_tradnl"/>
        </w:rPr>
        <w:t xml:space="preserve"> en los resultados </w:t>
      </w:r>
      <w:r>
        <w:rPr>
          <w:sz w:val="24"/>
          <w:szCs w:val="24"/>
          <w:lang w:val="es-ES_tradnl"/>
        </w:rPr>
        <w:t xml:space="preserve">de los </w:t>
      </w:r>
      <w:r w:rsidR="00632463">
        <w:rPr>
          <w:sz w:val="24"/>
          <w:szCs w:val="24"/>
          <w:lang w:val="es-ES_tradnl"/>
        </w:rPr>
        <w:t>centros especiales de empleo</w:t>
      </w:r>
      <w:r>
        <w:rPr>
          <w:sz w:val="24"/>
          <w:szCs w:val="24"/>
          <w:lang w:val="es-ES_tradnl"/>
        </w:rPr>
        <w:t xml:space="preserve"> de </w:t>
      </w:r>
      <w:r w:rsidR="003D6D08">
        <w:rPr>
          <w:sz w:val="24"/>
          <w:szCs w:val="24"/>
          <w:lang w:val="es-ES_tradnl"/>
        </w:rPr>
        <w:t>iniciativa empresarial</w:t>
      </w:r>
      <w:r>
        <w:rPr>
          <w:sz w:val="24"/>
          <w:szCs w:val="24"/>
          <w:lang w:val="es-ES_tradnl"/>
        </w:rPr>
        <w:t xml:space="preserve"> y social </w:t>
      </w:r>
      <w:r w:rsidRPr="00BE20A7">
        <w:rPr>
          <w:sz w:val="24"/>
          <w:szCs w:val="24"/>
          <w:lang w:val="es-ES_tradnl"/>
        </w:rPr>
        <w:t xml:space="preserve">obtenidos </w:t>
      </w:r>
      <w:r w:rsidRPr="005F258D">
        <w:rPr>
          <w:b/>
          <w:sz w:val="24"/>
          <w:szCs w:val="24"/>
          <w:lang w:val="es-ES_tradnl"/>
        </w:rPr>
        <w:t>en el área de intensidad en inversión en I+D y la pertenencia a sectores de la salud, tecnologías de la información y economía verde, con mayor presencia de los de iniciativa social.</w:t>
      </w:r>
      <w:r>
        <w:rPr>
          <w:sz w:val="24"/>
          <w:szCs w:val="24"/>
          <w:lang w:val="es-ES_tradnl"/>
        </w:rPr>
        <w:t xml:space="preserve"> </w:t>
      </w:r>
      <w:r w:rsidRPr="00BE20A7">
        <w:rPr>
          <w:sz w:val="24"/>
          <w:szCs w:val="24"/>
          <w:lang w:val="es-ES_tradnl"/>
        </w:rPr>
        <w:t xml:space="preserve">Por su parte, </w:t>
      </w:r>
      <w:r>
        <w:rPr>
          <w:sz w:val="24"/>
          <w:szCs w:val="24"/>
          <w:lang w:val="es-ES_tradnl"/>
        </w:rPr>
        <w:t xml:space="preserve">los de </w:t>
      </w:r>
      <w:r w:rsidR="003D6D08">
        <w:rPr>
          <w:sz w:val="24"/>
          <w:szCs w:val="24"/>
          <w:lang w:val="es-ES_tradnl"/>
        </w:rPr>
        <w:t>iniciativa empresarial</w:t>
      </w:r>
      <w:r>
        <w:rPr>
          <w:sz w:val="24"/>
          <w:szCs w:val="24"/>
          <w:lang w:val="es-ES_tradnl"/>
        </w:rPr>
        <w:t xml:space="preserve"> </w:t>
      </w:r>
      <w:r w:rsidRPr="00BE20A7">
        <w:rPr>
          <w:sz w:val="24"/>
          <w:szCs w:val="24"/>
          <w:lang w:val="es-ES_tradnl"/>
        </w:rPr>
        <w:t>muestra</w:t>
      </w:r>
      <w:r>
        <w:rPr>
          <w:sz w:val="24"/>
          <w:szCs w:val="24"/>
          <w:lang w:val="es-ES_tradnl"/>
        </w:rPr>
        <w:t>n</w:t>
      </w:r>
      <w:r w:rsidRPr="00BE20A7">
        <w:rPr>
          <w:sz w:val="24"/>
          <w:szCs w:val="24"/>
          <w:lang w:val="es-ES_tradnl"/>
        </w:rPr>
        <w:t xml:space="preserve"> mejor </w:t>
      </w:r>
      <w:r>
        <w:rPr>
          <w:sz w:val="24"/>
          <w:szCs w:val="24"/>
          <w:lang w:val="es-ES_tradnl"/>
        </w:rPr>
        <w:t xml:space="preserve">posición en lo que se refiere a </w:t>
      </w:r>
      <w:r w:rsidRPr="00BE20A7">
        <w:rPr>
          <w:sz w:val="24"/>
          <w:szCs w:val="24"/>
          <w:lang w:val="es-ES_tradnl"/>
        </w:rPr>
        <w:t xml:space="preserve">la evolución de las ventas y </w:t>
      </w:r>
      <w:r>
        <w:rPr>
          <w:sz w:val="24"/>
          <w:szCs w:val="24"/>
          <w:lang w:val="es-ES_tradnl"/>
        </w:rPr>
        <w:t>a</w:t>
      </w:r>
      <w:r w:rsidRPr="00BE20A7">
        <w:rPr>
          <w:sz w:val="24"/>
          <w:szCs w:val="24"/>
          <w:lang w:val="es-ES_tradnl"/>
        </w:rPr>
        <w:t xml:space="preserve"> la pertenencia a sectores de alto potencial de exportación.</w:t>
      </w:r>
    </w:p>
    <w:p w:rsidR="00383A94" w:rsidRDefault="00383A94" w:rsidP="00842404">
      <w:pPr>
        <w:spacing w:line="360" w:lineRule="auto"/>
        <w:jc w:val="both"/>
        <w:rPr>
          <w:sz w:val="24"/>
          <w:szCs w:val="24"/>
          <w:lang w:val="es-ES_tradnl"/>
        </w:rPr>
      </w:pPr>
    </w:p>
    <w:p w:rsidR="00383A94" w:rsidRDefault="00383A94" w:rsidP="00842404">
      <w:pPr>
        <w:spacing w:line="360" w:lineRule="auto"/>
        <w:jc w:val="both"/>
        <w:rPr>
          <w:sz w:val="24"/>
          <w:szCs w:val="24"/>
          <w:lang w:val="es-ES_tradnl"/>
        </w:rPr>
      </w:pPr>
      <w:r w:rsidRPr="007C37D5">
        <w:rPr>
          <w:b/>
          <w:sz w:val="24"/>
          <w:szCs w:val="24"/>
        </w:rPr>
        <w:t>Con respecto a las tendencias que se observan en relación al sector de actividad, la principal conclusión es que la elección de la actividad empresarial afecta el desempeño de los centros en las tres dimensiones evaluadas</w:t>
      </w:r>
      <w:r w:rsidRPr="007C37D5">
        <w:rPr>
          <w:sz w:val="24"/>
          <w:szCs w:val="24"/>
        </w:rPr>
        <w:t>.</w:t>
      </w:r>
      <w:r w:rsidRPr="00BE20A7">
        <w:rPr>
          <w:sz w:val="24"/>
          <w:szCs w:val="24"/>
        </w:rPr>
        <w:t xml:space="preserve"> </w:t>
      </w:r>
      <w:r w:rsidRPr="007C37D5">
        <w:rPr>
          <w:sz w:val="24"/>
          <w:szCs w:val="24"/>
          <w:lang w:val="es-ES_tradnl"/>
        </w:rPr>
        <w:t xml:space="preserve">Cuatro sectores absorben la mayoría del empleo de personas con discapacidad de los centros </w:t>
      </w:r>
      <w:r w:rsidRPr="00BE20A7">
        <w:rPr>
          <w:sz w:val="24"/>
          <w:szCs w:val="24"/>
          <w:lang w:val="es-ES_tradnl"/>
        </w:rPr>
        <w:t xml:space="preserve">(industria manufacturera, comercio al por mayor y al por menor, actividades administrativas y servicios auxiliares). El resto </w:t>
      </w:r>
      <w:r w:rsidR="00153759">
        <w:rPr>
          <w:sz w:val="24"/>
          <w:szCs w:val="24"/>
          <w:lang w:val="es-ES_tradnl"/>
        </w:rPr>
        <w:t>de centros se distribuyen entre otros</w:t>
      </w:r>
      <w:r w:rsidRPr="00BE20A7">
        <w:rPr>
          <w:sz w:val="24"/>
          <w:szCs w:val="24"/>
          <w:lang w:val="es-ES_tradnl"/>
        </w:rPr>
        <w:t xml:space="preserve"> sectores de forma más o menos uniforme.</w:t>
      </w:r>
    </w:p>
    <w:p w:rsidR="00383A94" w:rsidRDefault="00383A94" w:rsidP="00842404">
      <w:pPr>
        <w:spacing w:line="360" w:lineRule="auto"/>
        <w:jc w:val="both"/>
        <w:rPr>
          <w:sz w:val="24"/>
          <w:szCs w:val="24"/>
          <w:lang w:val="es-ES_tradnl"/>
        </w:rPr>
      </w:pPr>
    </w:p>
    <w:p w:rsidR="00383A94" w:rsidRDefault="00B127BA" w:rsidP="00383A94">
      <w:pPr>
        <w:spacing w:line="360" w:lineRule="auto"/>
        <w:jc w:val="both"/>
        <w:rPr>
          <w:sz w:val="24"/>
          <w:szCs w:val="24"/>
          <w:lang w:val="es-ES_tradnl"/>
        </w:rPr>
      </w:pPr>
      <w:r>
        <w:rPr>
          <w:sz w:val="24"/>
          <w:szCs w:val="24"/>
          <w:lang w:val="es-ES_tradnl"/>
        </w:rPr>
        <w:t>Al examinar los resultados globales por sector de activi</w:t>
      </w:r>
      <w:r w:rsidR="00383A94">
        <w:rPr>
          <w:sz w:val="24"/>
          <w:szCs w:val="24"/>
          <w:lang w:val="es-ES_tradnl"/>
        </w:rPr>
        <w:t>dad, se comprueba que existe cierta</w:t>
      </w:r>
      <w:r>
        <w:rPr>
          <w:sz w:val="24"/>
          <w:szCs w:val="24"/>
          <w:lang w:val="es-ES_tradnl"/>
        </w:rPr>
        <w:t xml:space="preserve"> variabilidad </w:t>
      </w:r>
      <w:r w:rsidR="00AB5F74">
        <w:rPr>
          <w:sz w:val="24"/>
          <w:szCs w:val="24"/>
          <w:lang w:val="es-ES_tradnl"/>
        </w:rPr>
        <w:t>entre las puntuaciones</w:t>
      </w:r>
      <w:r>
        <w:rPr>
          <w:sz w:val="24"/>
          <w:szCs w:val="24"/>
          <w:lang w:val="es-ES_tradnl"/>
        </w:rPr>
        <w:t xml:space="preserve"> de</w:t>
      </w:r>
      <w:r w:rsidR="00AB5F74">
        <w:rPr>
          <w:sz w:val="24"/>
          <w:szCs w:val="24"/>
          <w:lang w:val="es-ES_tradnl"/>
        </w:rPr>
        <w:t xml:space="preserve"> </w:t>
      </w:r>
      <w:r>
        <w:rPr>
          <w:sz w:val="24"/>
          <w:szCs w:val="24"/>
          <w:lang w:val="es-ES_tradnl"/>
        </w:rPr>
        <w:t>l</w:t>
      </w:r>
      <w:r w:rsidR="00AB5F74">
        <w:rPr>
          <w:sz w:val="24"/>
          <w:szCs w:val="24"/>
          <w:lang w:val="es-ES_tradnl"/>
        </w:rPr>
        <w:t>os</w:t>
      </w:r>
      <w:r>
        <w:rPr>
          <w:sz w:val="24"/>
          <w:szCs w:val="24"/>
          <w:lang w:val="es-ES_tradnl"/>
        </w:rPr>
        <w:t xml:space="preserve"> sector</w:t>
      </w:r>
      <w:r w:rsidR="00AB5F74">
        <w:rPr>
          <w:sz w:val="24"/>
          <w:szCs w:val="24"/>
          <w:lang w:val="es-ES_tradnl"/>
        </w:rPr>
        <w:t>es con</w:t>
      </w:r>
      <w:r w:rsidR="00383A94">
        <w:rPr>
          <w:sz w:val="24"/>
          <w:szCs w:val="24"/>
          <w:lang w:val="es-ES_tradnl"/>
        </w:rPr>
        <w:t xml:space="preserve"> respecto a la media. </w:t>
      </w:r>
      <w:r w:rsidR="00233D46" w:rsidRPr="00604B3D">
        <w:rPr>
          <w:b/>
          <w:sz w:val="24"/>
          <w:szCs w:val="24"/>
          <w:lang w:val="es-ES_tradnl"/>
        </w:rPr>
        <w:t>Los sectores</w:t>
      </w:r>
      <w:r w:rsidRPr="00604B3D">
        <w:rPr>
          <w:b/>
          <w:sz w:val="24"/>
          <w:szCs w:val="24"/>
          <w:lang w:val="es-ES_tradnl"/>
        </w:rPr>
        <w:t xml:space="preserve"> que </w:t>
      </w:r>
      <w:r w:rsidR="00233D46" w:rsidRPr="00604B3D">
        <w:rPr>
          <w:b/>
          <w:sz w:val="24"/>
          <w:szCs w:val="24"/>
          <w:lang w:val="es-ES_tradnl"/>
        </w:rPr>
        <w:t xml:space="preserve">obtienen resultados </w:t>
      </w:r>
      <w:r w:rsidRPr="00604B3D">
        <w:rPr>
          <w:b/>
          <w:sz w:val="24"/>
          <w:szCs w:val="24"/>
          <w:lang w:val="es-ES_tradnl"/>
        </w:rPr>
        <w:t xml:space="preserve">ligeramente por encima de la media </w:t>
      </w:r>
      <w:r w:rsidR="00233D46" w:rsidRPr="00604B3D">
        <w:rPr>
          <w:b/>
          <w:sz w:val="24"/>
          <w:szCs w:val="24"/>
          <w:lang w:val="es-ES_tradnl"/>
        </w:rPr>
        <w:t>son el manufacturero</w:t>
      </w:r>
      <w:r w:rsidRPr="00604B3D">
        <w:rPr>
          <w:b/>
          <w:sz w:val="24"/>
          <w:szCs w:val="24"/>
          <w:lang w:val="es-ES_tradnl"/>
        </w:rPr>
        <w:t xml:space="preserve"> y de actividades de suministro de agua, saneamiento y gestión de residuos, así como</w:t>
      </w:r>
      <w:r w:rsidR="00233D46" w:rsidRPr="00604B3D">
        <w:rPr>
          <w:b/>
          <w:sz w:val="24"/>
          <w:szCs w:val="24"/>
          <w:lang w:val="es-ES_tradnl"/>
        </w:rPr>
        <w:t xml:space="preserve"> los</w:t>
      </w:r>
      <w:r w:rsidRPr="00604B3D">
        <w:rPr>
          <w:b/>
          <w:sz w:val="24"/>
          <w:szCs w:val="24"/>
          <w:lang w:val="es-ES_tradnl"/>
        </w:rPr>
        <w:t xml:space="preserve"> de actividades sanitarias y de servicios sociales.</w:t>
      </w:r>
      <w:r w:rsidR="0080265E" w:rsidRPr="00604B3D">
        <w:rPr>
          <w:b/>
          <w:sz w:val="24"/>
          <w:szCs w:val="24"/>
          <w:lang w:val="es-ES_tradnl"/>
        </w:rPr>
        <w:t xml:space="preserve"> </w:t>
      </w:r>
    </w:p>
    <w:p w:rsidR="00383A94" w:rsidRDefault="00383A94" w:rsidP="00383A94">
      <w:pPr>
        <w:spacing w:line="360" w:lineRule="auto"/>
        <w:jc w:val="both"/>
        <w:rPr>
          <w:sz w:val="24"/>
          <w:szCs w:val="24"/>
          <w:lang w:val="es-ES_tradnl"/>
        </w:rPr>
      </w:pPr>
    </w:p>
    <w:p w:rsidR="00B127BA" w:rsidRPr="00F66652" w:rsidRDefault="00B127BA" w:rsidP="00383A94">
      <w:pPr>
        <w:spacing w:line="360" w:lineRule="auto"/>
        <w:jc w:val="both"/>
        <w:rPr>
          <w:sz w:val="24"/>
          <w:szCs w:val="24"/>
          <w:lang w:val="es-ES_tradnl"/>
        </w:rPr>
      </w:pPr>
      <w:r>
        <w:rPr>
          <w:sz w:val="24"/>
          <w:szCs w:val="24"/>
          <w:lang w:val="es-ES_tradnl"/>
        </w:rPr>
        <w:t xml:space="preserve">Atendiendo a la evaluación financiera, </w:t>
      </w:r>
      <w:r w:rsidR="0080265E">
        <w:rPr>
          <w:sz w:val="24"/>
          <w:szCs w:val="24"/>
          <w:lang w:val="es-ES_tradnl"/>
        </w:rPr>
        <w:t>d</w:t>
      </w:r>
      <w:r w:rsidRPr="00BE20A7">
        <w:rPr>
          <w:sz w:val="24"/>
          <w:szCs w:val="24"/>
          <w:lang w:val="es-ES_tradnl"/>
        </w:rPr>
        <w:t>e nuevo, la industria manufacturera y el sector de actividades sanitarias y de servicios sociales quedan ligeramente por encima de la media.</w:t>
      </w:r>
      <w:r w:rsidR="00383A94">
        <w:rPr>
          <w:sz w:val="24"/>
          <w:szCs w:val="24"/>
          <w:lang w:val="es-ES_tradnl"/>
        </w:rPr>
        <w:t xml:space="preserve"> </w:t>
      </w:r>
      <w:r w:rsidRPr="00BE20A7">
        <w:rPr>
          <w:sz w:val="24"/>
          <w:szCs w:val="24"/>
          <w:lang w:val="es-ES_tradnl"/>
        </w:rPr>
        <w:t xml:space="preserve">En lo referente a su potencial competitivo, se observa una </w:t>
      </w:r>
      <w:r>
        <w:rPr>
          <w:sz w:val="24"/>
          <w:szCs w:val="24"/>
          <w:lang w:val="es-ES_tradnl"/>
        </w:rPr>
        <w:t xml:space="preserve">variación </w:t>
      </w:r>
      <w:r w:rsidRPr="00BE20A7">
        <w:rPr>
          <w:sz w:val="24"/>
          <w:szCs w:val="24"/>
          <w:lang w:val="es-ES_tradnl"/>
        </w:rPr>
        <w:t xml:space="preserve">más pronunciada entre las puntuaciones de los sectores con respecto a la media. Destacan positivamente la industria manufacturera, el sector de actividades de suministro de agua, saneamiento y gestión de residuos, </w:t>
      </w:r>
      <w:r>
        <w:rPr>
          <w:sz w:val="24"/>
          <w:szCs w:val="24"/>
          <w:lang w:val="es-ES_tradnl"/>
        </w:rPr>
        <w:t>y</w:t>
      </w:r>
      <w:r w:rsidRPr="00BE20A7">
        <w:rPr>
          <w:sz w:val="24"/>
          <w:szCs w:val="24"/>
          <w:lang w:val="es-ES_tradnl"/>
        </w:rPr>
        <w:t xml:space="preserve"> el de actividades de información y comunicaciones.</w:t>
      </w:r>
      <w:r w:rsidR="00383A94">
        <w:rPr>
          <w:sz w:val="24"/>
          <w:szCs w:val="24"/>
          <w:lang w:val="es-ES_tradnl"/>
        </w:rPr>
        <w:t xml:space="preserve"> </w:t>
      </w:r>
      <w:r w:rsidRPr="00BE20A7">
        <w:rPr>
          <w:sz w:val="24"/>
          <w:szCs w:val="24"/>
          <w:lang w:val="es-ES_tradnl"/>
        </w:rPr>
        <w:t xml:space="preserve">En cuanto a los resultados de impacto social, la mayoría de los sectores obtienen resultados </w:t>
      </w:r>
      <w:r>
        <w:rPr>
          <w:sz w:val="24"/>
          <w:szCs w:val="24"/>
          <w:lang w:val="es-ES_tradnl"/>
        </w:rPr>
        <w:t>similares</w:t>
      </w:r>
      <w:r w:rsidRPr="00BE20A7">
        <w:rPr>
          <w:sz w:val="24"/>
          <w:szCs w:val="24"/>
          <w:lang w:val="es-ES_tradnl"/>
        </w:rPr>
        <w:t xml:space="preserve"> a la media. </w:t>
      </w:r>
      <w:r>
        <w:rPr>
          <w:sz w:val="24"/>
          <w:szCs w:val="24"/>
          <w:lang w:val="es-ES_tradnl"/>
        </w:rPr>
        <w:t xml:space="preserve">Los sectores destacados en este aspecto serían las </w:t>
      </w:r>
      <w:r w:rsidRPr="00BE20A7">
        <w:rPr>
          <w:sz w:val="24"/>
          <w:szCs w:val="24"/>
          <w:lang w:val="es-ES_tradnl"/>
        </w:rPr>
        <w:t>actividades de suministro de agua, saneamiento y gestión de residuos</w:t>
      </w:r>
      <w:r>
        <w:rPr>
          <w:sz w:val="24"/>
          <w:szCs w:val="24"/>
          <w:lang w:val="es-ES_tradnl"/>
        </w:rPr>
        <w:t xml:space="preserve"> y las de </w:t>
      </w:r>
      <w:r w:rsidRPr="00BE20A7">
        <w:rPr>
          <w:sz w:val="24"/>
          <w:szCs w:val="24"/>
          <w:lang w:val="es-ES_tradnl"/>
        </w:rPr>
        <w:t>actividades sanitarias y de servicios sociales.</w:t>
      </w:r>
    </w:p>
    <w:p w:rsidR="00B127BA" w:rsidRDefault="00B127BA">
      <w:pPr>
        <w:spacing w:line="360" w:lineRule="auto"/>
        <w:jc w:val="both"/>
        <w:rPr>
          <w:sz w:val="24"/>
          <w:szCs w:val="24"/>
          <w:lang w:val="es-ES_tradnl"/>
        </w:rPr>
      </w:pPr>
    </w:p>
    <w:p w:rsidR="00B127BA" w:rsidRDefault="00B127BA">
      <w:pPr>
        <w:spacing w:line="360" w:lineRule="auto"/>
        <w:jc w:val="both"/>
        <w:rPr>
          <w:sz w:val="24"/>
          <w:szCs w:val="24"/>
          <w:lang w:val="es-ES_tradnl"/>
        </w:rPr>
      </w:pPr>
      <w:r>
        <w:rPr>
          <w:sz w:val="24"/>
          <w:szCs w:val="24"/>
          <w:lang w:val="es-ES_tradnl"/>
        </w:rPr>
        <w:t xml:space="preserve">Respecto al número de personas con discapacidad empleadas por sector, destacan especialmente los de sectores de actividades sanitarias y de servicios sociales, y actividades </w:t>
      </w:r>
      <w:r w:rsidR="00FE4C81">
        <w:rPr>
          <w:sz w:val="24"/>
          <w:szCs w:val="24"/>
          <w:lang w:val="es-ES_tradnl"/>
        </w:rPr>
        <w:t>administrativas</w:t>
      </w:r>
      <w:r>
        <w:rPr>
          <w:sz w:val="24"/>
          <w:szCs w:val="24"/>
          <w:lang w:val="es-ES_tradnl"/>
        </w:rPr>
        <w:t xml:space="preserve"> y de servicios auxiliares. </w:t>
      </w:r>
    </w:p>
    <w:p w:rsidR="0080265E" w:rsidRDefault="0080265E">
      <w:pPr>
        <w:spacing w:line="360" w:lineRule="auto"/>
        <w:jc w:val="both"/>
        <w:rPr>
          <w:sz w:val="24"/>
          <w:szCs w:val="24"/>
          <w:lang w:val="es-ES_tradnl"/>
        </w:rPr>
      </w:pPr>
    </w:p>
    <w:p w:rsidR="00F56D60" w:rsidRDefault="00AB5F74" w:rsidP="00C86310">
      <w:pPr>
        <w:pStyle w:val="Prrafodelista"/>
        <w:spacing w:line="360" w:lineRule="auto"/>
        <w:ind w:left="0"/>
        <w:jc w:val="both"/>
        <w:rPr>
          <w:sz w:val="24"/>
          <w:szCs w:val="24"/>
          <w:lang w:val="es-ES_tradnl"/>
        </w:rPr>
      </w:pPr>
      <w:r>
        <w:rPr>
          <w:sz w:val="24"/>
          <w:szCs w:val="24"/>
          <w:lang w:val="es-ES_tradnl"/>
        </w:rPr>
        <w:t>Finalmente, el análisis llevado a cabo sugiere que l</w:t>
      </w:r>
      <w:r w:rsidR="00B127BA">
        <w:rPr>
          <w:sz w:val="24"/>
          <w:szCs w:val="24"/>
          <w:lang w:val="es-ES_tradnl"/>
        </w:rPr>
        <w:t>os</w:t>
      </w:r>
      <w:r w:rsidR="00632463" w:rsidRPr="00632463">
        <w:rPr>
          <w:sz w:val="24"/>
          <w:szCs w:val="24"/>
          <w:lang w:val="es-ES_tradnl"/>
        </w:rPr>
        <w:t xml:space="preserve"> </w:t>
      </w:r>
      <w:r w:rsidR="00632463">
        <w:rPr>
          <w:sz w:val="24"/>
          <w:szCs w:val="24"/>
          <w:lang w:val="es-ES_tradnl"/>
        </w:rPr>
        <w:t xml:space="preserve">centros especiales de empleo </w:t>
      </w:r>
      <w:r w:rsidR="00B127BA">
        <w:rPr>
          <w:sz w:val="24"/>
          <w:szCs w:val="24"/>
          <w:lang w:val="es-ES_tradnl"/>
        </w:rPr>
        <w:t xml:space="preserve">pueden suponer un estímulo </w:t>
      </w:r>
      <w:r>
        <w:rPr>
          <w:sz w:val="24"/>
          <w:szCs w:val="24"/>
          <w:lang w:val="es-ES_tradnl"/>
        </w:rPr>
        <w:t xml:space="preserve">importante </w:t>
      </w:r>
      <w:r w:rsidR="00B127BA">
        <w:rPr>
          <w:sz w:val="24"/>
          <w:szCs w:val="24"/>
          <w:lang w:val="es-ES_tradnl"/>
        </w:rPr>
        <w:t xml:space="preserve">para la economía </w:t>
      </w:r>
      <w:r>
        <w:rPr>
          <w:sz w:val="24"/>
          <w:szCs w:val="24"/>
          <w:lang w:val="es-ES_tradnl"/>
        </w:rPr>
        <w:t>rural.</w:t>
      </w:r>
      <w:r w:rsidR="00B127BA">
        <w:rPr>
          <w:sz w:val="24"/>
          <w:szCs w:val="24"/>
          <w:lang w:val="es-ES_tradnl"/>
        </w:rPr>
        <w:t xml:space="preserve"> </w:t>
      </w:r>
      <w:r w:rsidR="003E7EE8">
        <w:rPr>
          <w:sz w:val="24"/>
          <w:szCs w:val="24"/>
          <w:lang w:val="es-ES_tradnl"/>
        </w:rPr>
        <w:t>L</w:t>
      </w:r>
      <w:r w:rsidR="00B127BA">
        <w:rPr>
          <w:sz w:val="24"/>
          <w:szCs w:val="24"/>
          <w:lang w:val="es-ES_tradnl"/>
        </w:rPr>
        <w:t>os sectores que tienen un mayor impacto sobre municipios de menos de 20.000 habitantes son las actividades sanitarias y de servicios sociales, el comercio al por mayor y al por menor, la industria manufacturera y el sector del agua, saneamiento y gestión de residuos.</w:t>
      </w:r>
      <w:r w:rsidR="00C86310">
        <w:rPr>
          <w:sz w:val="24"/>
          <w:szCs w:val="24"/>
          <w:lang w:val="es-ES_tradnl"/>
        </w:rPr>
        <w:t xml:space="preserve"> </w:t>
      </w:r>
    </w:p>
    <w:p w:rsidR="00383A94" w:rsidRDefault="00383A94" w:rsidP="00383A94">
      <w:pPr>
        <w:pStyle w:val="Prrafodelista"/>
        <w:spacing w:line="360" w:lineRule="auto"/>
        <w:ind w:left="0"/>
        <w:jc w:val="both"/>
        <w:rPr>
          <w:sz w:val="24"/>
          <w:szCs w:val="24"/>
          <w:lang w:val="es-ES_tradnl"/>
        </w:rPr>
      </w:pPr>
    </w:p>
    <w:p w:rsidR="00383A94" w:rsidRPr="00383A94" w:rsidRDefault="00383A94" w:rsidP="00C86310">
      <w:pPr>
        <w:pStyle w:val="Prrafodelista"/>
        <w:spacing w:line="360" w:lineRule="auto"/>
        <w:ind w:left="0"/>
        <w:jc w:val="both"/>
        <w:rPr>
          <w:sz w:val="24"/>
          <w:szCs w:val="24"/>
        </w:rPr>
      </w:pPr>
      <w:r>
        <w:rPr>
          <w:sz w:val="24"/>
          <w:szCs w:val="24"/>
          <w:lang w:val="es-ES_tradnl"/>
        </w:rPr>
        <w:t>De esta forma se observa que, d</w:t>
      </w:r>
      <w:r w:rsidRPr="00BE20A7">
        <w:rPr>
          <w:sz w:val="24"/>
          <w:szCs w:val="24"/>
          <w:lang w:val="es-ES_tradnl"/>
        </w:rPr>
        <w:t xml:space="preserve">e todos los sectores, </w:t>
      </w:r>
      <w:r w:rsidRPr="00BE20A7">
        <w:rPr>
          <w:sz w:val="24"/>
          <w:szCs w:val="24"/>
        </w:rPr>
        <w:t>unos sectores parecen ser más apropiados que otros para la integración de las personas con discapacidad y para favorecer su potencial productivo.</w:t>
      </w:r>
      <w:r w:rsidRPr="00BE20A7">
        <w:rPr>
          <w:sz w:val="24"/>
          <w:szCs w:val="24"/>
          <w:lang w:val="es-ES_tradnl"/>
        </w:rPr>
        <w:t xml:space="preserve"> </w:t>
      </w:r>
      <w:r w:rsidR="00632463" w:rsidRPr="005F258D">
        <w:rPr>
          <w:b/>
          <w:sz w:val="24"/>
          <w:szCs w:val="24"/>
          <w:lang w:val="es-ES_tradnl"/>
        </w:rPr>
        <w:t>Algunos sectores</w:t>
      </w:r>
      <w:r w:rsidRPr="005F258D">
        <w:rPr>
          <w:b/>
          <w:sz w:val="24"/>
          <w:szCs w:val="24"/>
          <w:lang w:val="es-ES_tradnl"/>
        </w:rPr>
        <w:t xml:space="preserve"> destacan por proporcionar buenos salarios y tener una actividad de negocio robusta. </w:t>
      </w:r>
      <w:r w:rsidR="007C37D5" w:rsidRPr="005F258D">
        <w:rPr>
          <w:b/>
          <w:sz w:val="24"/>
          <w:szCs w:val="24"/>
          <w:lang w:val="es-ES_tradnl"/>
        </w:rPr>
        <w:t xml:space="preserve">En el caso de </w:t>
      </w:r>
      <w:r w:rsidRPr="005F258D">
        <w:rPr>
          <w:b/>
          <w:sz w:val="24"/>
          <w:szCs w:val="24"/>
          <w:lang w:val="es-ES_tradnl"/>
        </w:rPr>
        <w:t xml:space="preserve">la industria manufacturera, la elección de la actividad </w:t>
      </w:r>
      <w:r w:rsidR="007C37D5" w:rsidRPr="005F258D">
        <w:rPr>
          <w:b/>
          <w:sz w:val="24"/>
          <w:szCs w:val="24"/>
          <w:lang w:val="es-ES_tradnl"/>
        </w:rPr>
        <w:t>parece ser</w:t>
      </w:r>
      <w:r w:rsidRPr="005F258D">
        <w:rPr>
          <w:b/>
          <w:sz w:val="24"/>
          <w:szCs w:val="24"/>
          <w:lang w:val="es-ES_tradnl"/>
        </w:rPr>
        <w:t xml:space="preserve"> acertada, </w:t>
      </w:r>
      <w:r w:rsidRPr="00BE20A7">
        <w:rPr>
          <w:sz w:val="24"/>
          <w:szCs w:val="24"/>
          <w:lang w:val="es-ES_tradnl"/>
        </w:rPr>
        <w:t>y los centros que la desempeñan muestran una gran solidez financiera, una buena posición competitiva y un alto grado</w:t>
      </w:r>
      <w:r w:rsidR="005F258D">
        <w:rPr>
          <w:sz w:val="24"/>
          <w:szCs w:val="24"/>
          <w:lang w:val="es-ES_tradnl"/>
        </w:rPr>
        <w:t xml:space="preserve"> de impacto social.</w:t>
      </w:r>
    </w:p>
    <w:p w:rsidR="00107DCD" w:rsidRPr="00383A94" w:rsidRDefault="00107DCD" w:rsidP="00C86310">
      <w:pPr>
        <w:pStyle w:val="Prrafodelista"/>
        <w:spacing w:line="360" w:lineRule="auto"/>
        <w:ind w:left="0"/>
        <w:jc w:val="both"/>
        <w:rPr>
          <w:sz w:val="24"/>
          <w:szCs w:val="24"/>
        </w:rPr>
      </w:pPr>
    </w:p>
    <w:p w:rsidR="00DD114D" w:rsidRDefault="00DF7876" w:rsidP="00FF35C2">
      <w:pPr>
        <w:pStyle w:val="Prrafodelista"/>
        <w:spacing w:line="360" w:lineRule="auto"/>
        <w:ind w:left="0"/>
        <w:jc w:val="both"/>
        <w:rPr>
          <w:sz w:val="24"/>
          <w:szCs w:val="24"/>
          <w:lang w:val="es-ES_tradnl"/>
        </w:rPr>
      </w:pPr>
      <w:r>
        <w:rPr>
          <w:sz w:val="24"/>
          <w:szCs w:val="24"/>
          <w:lang w:val="es-ES_tradnl"/>
        </w:rPr>
        <w:t>Finalmente, l</w:t>
      </w:r>
      <w:r w:rsidR="00C86310" w:rsidRPr="00BE20A7">
        <w:rPr>
          <w:sz w:val="24"/>
          <w:szCs w:val="24"/>
          <w:lang w:val="es-ES_tradnl"/>
        </w:rPr>
        <w:t xml:space="preserve">os datos de evolución del empleo durante </w:t>
      </w:r>
      <w:r w:rsidR="0080265E">
        <w:rPr>
          <w:sz w:val="24"/>
          <w:szCs w:val="24"/>
          <w:lang w:val="es-ES_tradnl"/>
        </w:rPr>
        <w:t>el periodo 2011-2013</w:t>
      </w:r>
      <w:r w:rsidR="00C86310" w:rsidRPr="00BE20A7">
        <w:rPr>
          <w:sz w:val="24"/>
          <w:szCs w:val="24"/>
          <w:lang w:val="es-ES_tradnl"/>
        </w:rPr>
        <w:t xml:space="preserve">, nos dejan una imagen muy positiva de los centros. </w:t>
      </w:r>
      <w:r w:rsidR="00C86310" w:rsidRPr="005F258D">
        <w:rPr>
          <w:b/>
          <w:sz w:val="24"/>
          <w:szCs w:val="24"/>
          <w:lang w:val="es-ES_tradnl"/>
        </w:rPr>
        <w:t>Aunque se vieron afectados por la crisis económica como cu</w:t>
      </w:r>
      <w:r w:rsidR="0080265E" w:rsidRPr="005F258D">
        <w:rPr>
          <w:b/>
          <w:sz w:val="24"/>
          <w:szCs w:val="24"/>
          <w:lang w:val="es-ES_tradnl"/>
        </w:rPr>
        <w:t>alquier otra empresa del país, han mantenido su actividad y compromiso con el empleo</w:t>
      </w:r>
      <w:r w:rsidR="00C86310" w:rsidRPr="005F258D">
        <w:rPr>
          <w:b/>
          <w:sz w:val="24"/>
          <w:szCs w:val="24"/>
          <w:lang w:val="es-ES_tradnl"/>
        </w:rPr>
        <w:t xml:space="preserve">. El número total de personas con discapacidad empleadas por los centros aumentó entre los años </w:t>
      </w:r>
      <w:r w:rsidR="0054206A" w:rsidRPr="005F258D">
        <w:rPr>
          <w:b/>
          <w:sz w:val="24"/>
          <w:szCs w:val="24"/>
          <w:lang w:val="es-ES_tradnl"/>
        </w:rPr>
        <w:t>2012</w:t>
      </w:r>
      <w:r w:rsidR="00C86310" w:rsidRPr="005F258D">
        <w:rPr>
          <w:b/>
          <w:sz w:val="24"/>
          <w:szCs w:val="24"/>
          <w:lang w:val="es-ES_tradnl"/>
        </w:rPr>
        <w:t xml:space="preserve"> y 2013, y ese crecimiento se produjo bastante homogéneamente en todos los </w:t>
      </w:r>
      <w:r w:rsidR="00632463" w:rsidRPr="005F258D">
        <w:rPr>
          <w:b/>
          <w:sz w:val="24"/>
          <w:szCs w:val="24"/>
          <w:lang w:val="es-ES_tradnl"/>
        </w:rPr>
        <w:t>grupos de análisis</w:t>
      </w:r>
      <w:r w:rsidR="00C86310" w:rsidRPr="005F258D">
        <w:rPr>
          <w:b/>
          <w:sz w:val="24"/>
          <w:szCs w:val="24"/>
          <w:lang w:val="es-ES_tradnl"/>
        </w:rPr>
        <w:t xml:space="preserve">, </w:t>
      </w:r>
      <w:r w:rsidR="00C86310" w:rsidRPr="00BE20A7">
        <w:rPr>
          <w:sz w:val="24"/>
          <w:szCs w:val="24"/>
          <w:lang w:val="es-ES_tradnl"/>
        </w:rPr>
        <w:t>incluyendo mujeres con discapacidad, personas con discapacidad con contrato indefinido, pers</w:t>
      </w:r>
      <w:r w:rsidR="00F72EDA">
        <w:rPr>
          <w:sz w:val="24"/>
          <w:szCs w:val="24"/>
          <w:lang w:val="es-ES_tradnl"/>
        </w:rPr>
        <w:t>onas con especiales dificultades</w:t>
      </w:r>
      <w:r w:rsidR="00C86310" w:rsidRPr="00BE20A7">
        <w:rPr>
          <w:sz w:val="24"/>
          <w:szCs w:val="24"/>
          <w:lang w:val="es-ES_tradnl"/>
        </w:rPr>
        <w:t>, personas con discapacidad en edades de difícil acceso al mercado laboral y personas con discapacidad sin estudios o con estudios básicos. Este aumento en el número de contratos refleja, una vez más, la capacidad transformadora y el enorme valor añadido social de los centros especiales de empl</w:t>
      </w:r>
      <w:bookmarkStart w:id="303" w:name="_Toc352773608"/>
      <w:bookmarkStart w:id="304" w:name="_Toc340340576"/>
      <w:r w:rsidR="00FF35C2">
        <w:rPr>
          <w:sz w:val="24"/>
          <w:szCs w:val="24"/>
          <w:lang w:val="es-ES_tradnl"/>
        </w:rPr>
        <w:t>eo de Castilla y León.</w:t>
      </w:r>
    </w:p>
    <w:p w:rsidR="00DD114D" w:rsidRPr="00DD114D" w:rsidRDefault="00DD114D" w:rsidP="00DD114D">
      <w:pPr>
        <w:pStyle w:val="Ttulo2"/>
        <w:rPr>
          <w:lang w:val="es-ES_tradnl"/>
        </w:rPr>
      </w:pPr>
      <w:bookmarkStart w:id="305" w:name="_Toc402872729"/>
      <w:bookmarkStart w:id="306" w:name="_Toc410916893"/>
      <w:r w:rsidRPr="00DD114D">
        <w:rPr>
          <w:lang w:val="es-ES_tradnl"/>
        </w:rPr>
        <w:t>C</w:t>
      </w:r>
      <w:r>
        <w:rPr>
          <w:lang w:val="es-ES_tradnl"/>
        </w:rPr>
        <w:t xml:space="preserve">onclusiones </w:t>
      </w:r>
      <w:r w:rsidR="004A4CA4">
        <w:rPr>
          <w:lang w:val="es-ES_tradnl"/>
        </w:rPr>
        <w:t>de</w:t>
      </w:r>
      <w:r>
        <w:rPr>
          <w:lang w:val="es-ES_tradnl"/>
        </w:rPr>
        <w:t xml:space="preserve"> las c</w:t>
      </w:r>
      <w:r w:rsidRPr="00DD114D">
        <w:rPr>
          <w:lang w:val="es-ES_tradnl"/>
        </w:rPr>
        <w:t>onsultas a los Centro Especiales de Empleo</w:t>
      </w:r>
      <w:bookmarkEnd w:id="305"/>
      <w:bookmarkEnd w:id="306"/>
    </w:p>
    <w:p w:rsidR="00DD114D" w:rsidRDefault="00DD114D" w:rsidP="00DD114D">
      <w:pPr>
        <w:jc w:val="both"/>
        <w:rPr>
          <w:b/>
          <w:color w:val="FF0000"/>
          <w:sz w:val="32"/>
          <w:lang w:val="es-ES_tradnl"/>
        </w:rPr>
      </w:pPr>
    </w:p>
    <w:p w:rsidR="00DD114D" w:rsidRPr="00194BD8" w:rsidRDefault="00DD114D" w:rsidP="00163CD7">
      <w:pPr>
        <w:spacing w:line="360" w:lineRule="auto"/>
        <w:jc w:val="both"/>
        <w:rPr>
          <w:sz w:val="24"/>
          <w:szCs w:val="24"/>
          <w:lang w:val="es-ES_tradnl"/>
        </w:rPr>
      </w:pPr>
      <w:r w:rsidRPr="00194BD8">
        <w:rPr>
          <w:sz w:val="24"/>
          <w:szCs w:val="24"/>
          <w:lang w:val="es-ES_tradnl"/>
        </w:rPr>
        <w:t xml:space="preserve">De las consultas realizadas a </w:t>
      </w:r>
      <w:r>
        <w:rPr>
          <w:sz w:val="24"/>
          <w:szCs w:val="24"/>
          <w:lang w:val="es-ES_tradnl"/>
        </w:rPr>
        <w:t>los gestores</w:t>
      </w:r>
      <w:r w:rsidRPr="00194BD8">
        <w:rPr>
          <w:sz w:val="24"/>
          <w:szCs w:val="24"/>
          <w:lang w:val="es-ES_tradnl"/>
        </w:rPr>
        <w:t xml:space="preserve"> de los </w:t>
      </w:r>
      <w:r>
        <w:rPr>
          <w:sz w:val="24"/>
          <w:szCs w:val="24"/>
          <w:lang w:val="es-ES_tradnl"/>
        </w:rPr>
        <w:t>centros especiales de empleo</w:t>
      </w:r>
      <w:r w:rsidRPr="00194BD8">
        <w:rPr>
          <w:sz w:val="24"/>
          <w:szCs w:val="24"/>
          <w:lang w:val="es-ES_tradnl"/>
        </w:rPr>
        <w:t xml:space="preserve"> </w:t>
      </w:r>
      <w:r>
        <w:rPr>
          <w:sz w:val="24"/>
          <w:szCs w:val="24"/>
          <w:lang w:val="es-ES_tradnl"/>
        </w:rPr>
        <w:t>sobre</w:t>
      </w:r>
      <w:r w:rsidRPr="00194BD8">
        <w:rPr>
          <w:sz w:val="24"/>
          <w:szCs w:val="24"/>
          <w:lang w:val="es-ES_tradnl"/>
        </w:rPr>
        <w:t xml:space="preserve"> las fortalezas, oportunidades y debilidade</w:t>
      </w:r>
      <w:r>
        <w:rPr>
          <w:sz w:val="24"/>
          <w:szCs w:val="24"/>
          <w:lang w:val="es-ES_tradnl"/>
        </w:rPr>
        <w:t>s del sector, se extraen algunas conclusiones.</w:t>
      </w:r>
    </w:p>
    <w:p w:rsidR="00DD114D" w:rsidRPr="00194BD8" w:rsidRDefault="00DD114D" w:rsidP="00163CD7">
      <w:pPr>
        <w:spacing w:line="360" w:lineRule="auto"/>
        <w:jc w:val="both"/>
        <w:rPr>
          <w:sz w:val="24"/>
          <w:szCs w:val="24"/>
          <w:lang w:val="es-ES_tradnl"/>
        </w:rPr>
      </w:pPr>
    </w:p>
    <w:p w:rsidR="00DD114D" w:rsidRDefault="00DD114D" w:rsidP="00163CD7">
      <w:pPr>
        <w:spacing w:line="360" w:lineRule="auto"/>
        <w:jc w:val="both"/>
        <w:rPr>
          <w:sz w:val="24"/>
          <w:szCs w:val="24"/>
          <w:lang w:val="es-ES_tradnl"/>
        </w:rPr>
      </w:pPr>
      <w:r w:rsidRPr="00194BD8">
        <w:rPr>
          <w:sz w:val="24"/>
          <w:szCs w:val="24"/>
          <w:lang w:val="es-ES_tradnl"/>
        </w:rPr>
        <w:t xml:space="preserve">Los </w:t>
      </w:r>
      <w:r w:rsidR="00632463">
        <w:rPr>
          <w:sz w:val="24"/>
          <w:szCs w:val="24"/>
          <w:lang w:val="es-ES_tradnl"/>
        </w:rPr>
        <w:t xml:space="preserve">centros especiales de empleo </w:t>
      </w:r>
      <w:r w:rsidRPr="00604B3D">
        <w:rPr>
          <w:b/>
          <w:sz w:val="24"/>
          <w:szCs w:val="24"/>
          <w:lang w:val="es-ES_tradnl"/>
        </w:rPr>
        <w:t>identifican como fortalezas para su funcionamiento diferentes aspectos, el más importante de los cuales es el impacto social que generan en el colectivo de las personas con discapacidad, sobre todo si se miden y objetivan los logros en este terreno</w:t>
      </w:r>
      <w:r w:rsidRPr="00194BD8">
        <w:rPr>
          <w:sz w:val="24"/>
          <w:szCs w:val="24"/>
          <w:lang w:val="es-ES_tradnl"/>
        </w:rPr>
        <w:t>.</w:t>
      </w:r>
      <w:r>
        <w:rPr>
          <w:sz w:val="24"/>
          <w:szCs w:val="24"/>
          <w:lang w:val="es-ES_tradnl"/>
        </w:rPr>
        <w:t xml:space="preserve"> El elevado impacto social generado permite</w:t>
      </w:r>
      <w:r w:rsidRPr="00194BD8">
        <w:rPr>
          <w:sz w:val="24"/>
          <w:szCs w:val="24"/>
          <w:lang w:val="es-ES_tradnl"/>
        </w:rPr>
        <w:t xml:space="preserve"> que el objetivo social </w:t>
      </w:r>
      <w:r>
        <w:rPr>
          <w:sz w:val="24"/>
          <w:szCs w:val="24"/>
          <w:lang w:val="es-ES_tradnl"/>
        </w:rPr>
        <w:t>se asocie al</w:t>
      </w:r>
      <w:r w:rsidRPr="00194BD8">
        <w:rPr>
          <w:sz w:val="24"/>
          <w:szCs w:val="24"/>
          <w:lang w:val="es-ES_tradnl"/>
        </w:rPr>
        <w:t xml:space="preserve"> producto o servicio ofrecido</w:t>
      </w:r>
      <w:r>
        <w:rPr>
          <w:sz w:val="24"/>
          <w:szCs w:val="24"/>
          <w:lang w:val="es-ES_tradnl"/>
        </w:rPr>
        <w:t xml:space="preserve"> y</w:t>
      </w:r>
      <w:r w:rsidRPr="00194BD8">
        <w:rPr>
          <w:sz w:val="24"/>
          <w:szCs w:val="24"/>
          <w:lang w:val="es-ES_tradnl"/>
        </w:rPr>
        <w:t xml:space="preserve"> sea una ventaja competitiva</w:t>
      </w:r>
      <w:r>
        <w:rPr>
          <w:sz w:val="24"/>
          <w:szCs w:val="24"/>
          <w:lang w:val="es-ES_tradnl"/>
        </w:rPr>
        <w:t>.</w:t>
      </w:r>
    </w:p>
    <w:p w:rsidR="00DD114D" w:rsidRPr="00194BD8" w:rsidRDefault="00DD114D" w:rsidP="00163CD7">
      <w:pPr>
        <w:spacing w:line="360" w:lineRule="auto"/>
        <w:jc w:val="both"/>
        <w:rPr>
          <w:sz w:val="24"/>
          <w:szCs w:val="24"/>
          <w:lang w:val="es-ES_tradnl"/>
        </w:rPr>
      </w:pPr>
    </w:p>
    <w:p w:rsidR="00DD114D" w:rsidRDefault="00FC162A" w:rsidP="00163CD7">
      <w:pPr>
        <w:spacing w:line="360" w:lineRule="auto"/>
        <w:jc w:val="both"/>
        <w:rPr>
          <w:sz w:val="24"/>
          <w:szCs w:val="24"/>
          <w:lang w:val="es-ES_tradnl"/>
        </w:rPr>
      </w:pPr>
      <w:r w:rsidRPr="00604B3D">
        <w:rPr>
          <w:b/>
          <w:sz w:val="24"/>
          <w:szCs w:val="24"/>
          <w:lang w:val="es-ES_tradnl"/>
        </w:rPr>
        <w:t xml:space="preserve">Hay </w:t>
      </w:r>
      <w:r w:rsidR="00DD114D" w:rsidRPr="00604B3D">
        <w:rPr>
          <w:b/>
          <w:sz w:val="24"/>
          <w:szCs w:val="24"/>
          <w:lang w:val="es-ES_tradnl"/>
        </w:rPr>
        <w:t xml:space="preserve">desacuerdo entre los gestores consultados en torno a la solidez financiera </w:t>
      </w:r>
      <w:r w:rsidR="00DD114D">
        <w:rPr>
          <w:sz w:val="24"/>
          <w:szCs w:val="24"/>
          <w:lang w:val="es-ES_tradnl"/>
        </w:rPr>
        <w:t xml:space="preserve">de los </w:t>
      </w:r>
      <w:r w:rsidR="00632463">
        <w:rPr>
          <w:sz w:val="24"/>
          <w:szCs w:val="24"/>
          <w:lang w:val="es-ES_tradnl"/>
        </w:rPr>
        <w:t>centros especiales de empleo</w:t>
      </w:r>
      <w:r w:rsidR="00DD114D">
        <w:rPr>
          <w:sz w:val="24"/>
          <w:szCs w:val="24"/>
          <w:lang w:val="es-ES_tradnl"/>
        </w:rPr>
        <w:t>. M</w:t>
      </w:r>
      <w:r w:rsidR="00DD114D" w:rsidRPr="00194BD8">
        <w:rPr>
          <w:sz w:val="24"/>
          <w:szCs w:val="24"/>
          <w:lang w:val="es-ES_tradnl"/>
        </w:rPr>
        <w:t xml:space="preserve">ientras que un grupo considera que son </w:t>
      </w:r>
      <w:r>
        <w:rPr>
          <w:sz w:val="24"/>
          <w:szCs w:val="24"/>
          <w:lang w:val="es-ES_tradnl"/>
        </w:rPr>
        <w:t xml:space="preserve">los centros financieramente </w:t>
      </w:r>
      <w:r w:rsidR="00DD114D" w:rsidRPr="00194BD8">
        <w:rPr>
          <w:sz w:val="24"/>
          <w:szCs w:val="24"/>
          <w:lang w:val="es-ES_tradnl"/>
        </w:rPr>
        <w:t>robustos, otros consider</w:t>
      </w:r>
      <w:r w:rsidR="00DD114D">
        <w:rPr>
          <w:sz w:val="24"/>
          <w:szCs w:val="24"/>
          <w:lang w:val="es-ES_tradnl"/>
        </w:rPr>
        <w:t xml:space="preserve">an que el área de negocio </w:t>
      </w:r>
      <w:r w:rsidR="00DD114D" w:rsidRPr="00194BD8">
        <w:rPr>
          <w:sz w:val="24"/>
          <w:szCs w:val="24"/>
          <w:lang w:val="es-ES_tradnl"/>
        </w:rPr>
        <w:t xml:space="preserve">no </w:t>
      </w:r>
      <w:r w:rsidR="00632463">
        <w:rPr>
          <w:sz w:val="24"/>
          <w:szCs w:val="24"/>
          <w:lang w:val="es-ES_tradnl"/>
        </w:rPr>
        <w:t>tiene el suficiente potencial</w:t>
      </w:r>
      <w:r w:rsidR="00DD114D">
        <w:rPr>
          <w:sz w:val="24"/>
          <w:szCs w:val="24"/>
          <w:lang w:val="es-ES_tradnl"/>
        </w:rPr>
        <w:t>. Otro grupo opina</w:t>
      </w:r>
      <w:r w:rsidR="00DD114D" w:rsidRPr="00194BD8">
        <w:rPr>
          <w:sz w:val="24"/>
          <w:szCs w:val="24"/>
          <w:lang w:val="es-ES_tradnl"/>
        </w:rPr>
        <w:t xml:space="preserve"> que solo </w:t>
      </w:r>
      <w:r w:rsidR="00DD114D">
        <w:rPr>
          <w:sz w:val="24"/>
          <w:szCs w:val="24"/>
          <w:lang w:val="es-ES_tradnl"/>
        </w:rPr>
        <w:t>gracias a las Administraciones P</w:t>
      </w:r>
      <w:r w:rsidR="00DD114D" w:rsidRPr="00194BD8">
        <w:rPr>
          <w:sz w:val="24"/>
          <w:szCs w:val="24"/>
          <w:lang w:val="es-ES_tradnl"/>
        </w:rPr>
        <w:t xml:space="preserve">úblicas se ha conseguido mantener </w:t>
      </w:r>
      <w:r w:rsidR="00632463">
        <w:rPr>
          <w:sz w:val="24"/>
          <w:szCs w:val="24"/>
          <w:lang w:val="es-ES_tradnl"/>
        </w:rPr>
        <w:t>la</w:t>
      </w:r>
      <w:r w:rsidR="00DD114D" w:rsidRPr="00194BD8">
        <w:rPr>
          <w:sz w:val="24"/>
          <w:szCs w:val="24"/>
          <w:lang w:val="es-ES_tradnl"/>
        </w:rPr>
        <w:t xml:space="preserve"> solidez financiera. </w:t>
      </w:r>
    </w:p>
    <w:p w:rsidR="00632463" w:rsidRPr="00194BD8" w:rsidRDefault="00632463" w:rsidP="00163CD7">
      <w:pPr>
        <w:spacing w:line="360" w:lineRule="auto"/>
        <w:jc w:val="both"/>
        <w:rPr>
          <w:sz w:val="24"/>
          <w:szCs w:val="24"/>
          <w:lang w:val="es-ES_tradnl"/>
        </w:rPr>
      </w:pPr>
    </w:p>
    <w:p w:rsidR="00DD114D" w:rsidRPr="00194BD8" w:rsidRDefault="00DD114D" w:rsidP="00163CD7">
      <w:pPr>
        <w:spacing w:line="360" w:lineRule="auto"/>
        <w:jc w:val="both"/>
        <w:rPr>
          <w:sz w:val="24"/>
          <w:szCs w:val="24"/>
          <w:lang w:val="es-ES_tradnl"/>
        </w:rPr>
      </w:pPr>
      <w:r w:rsidRPr="00194BD8">
        <w:rPr>
          <w:sz w:val="24"/>
          <w:szCs w:val="24"/>
          <w:lang w:val="es-ES_tradnl"/>
        </w:rPr>
        <w:t xml:space="preserve">Existe la convicción </w:t>
      </w:r>
      <w:r>
        <w:rPr>
          <w:sz w:val="24"/>
          <w:szCs w:val="24"/>
          <w:lang w:val="es-ES_tradnl"/>
        </w:rPr>
        <w:t xml:space="preserve">entre los gestores consultados </w:t>
      </w:r>
      <w:r w:rsidRPr="00194BD8">
        <w:rPr>
          <w:sz w:val="24"/>
          <w:szCs w:val="24"/>
          <w:lang w:val="es-ES_tradnl"/>
        </w:rPr>
        <w:t xml:space="preserve">de que </w:t>
      </w:r>
      <w:r>
        <w:rPr>
          <w:sz w:val="24"/>
          <w:szCs w:val="24"/>
          <w:lang w:val="es-ES_tradnl"/>
        </w:rPr>
        <w:t xml:space="preserve">los </w:t>
      </w:r>
      <w:r w:rsidR="00632463">
        <w:rPr>
          <w:sz w:val="24"/>
          <w:szCs w:val="24"/>
          <w:lang w:val="es-ES_tradnl"/>
        </w:rPr>
        <w:t>centros especiales de empleo</w:t>
      </w:r>
      <w:r w:rsidR="00632463" w:rsidRPr="00194BD8">
        <w:rPr>
          <w:sz w:val="24"/>
          <w:szCs w:val="24"/>
          <w:lang w:val="es-ES_tradnl"/>
        </w:rPr>
        <w:t xml:space="preserve"> </w:t>
      </w:r>
      <w:r w:rsidRPr="00194BD8">
        <w:rPr>
          <w:sz w:val="24"/>
          <w:szCs w:val="24"/>
          <w:lang w:val="es-ES_tradnl"/>
        </w:rPr>
        <w:t xml:space="preserve">son el modo más efectivo para la integración de las personas con discapacidad. Además, </w:t>
      </w:r>
      <w:r>
        <w:rPr>
          <w:sz w:val="24"/>
          <w:szCs w:val="24"/>
          <w:lang w:val="es-ES_tradnl"/>
        </w:rPr>
        <w:t xml:space="preserve">apuntan que estos </w:t>
      </w:r>
      <w:r w:rsidRPr="00194BD8">
        <w:rPr>
          <w:sz w:val="24"/>
          <w:szCs w:val="24"/>
          <w:lang w:val="es-ES_tradnl"/>
        </w:rPr>
        <w:t xml:space="preserve">se han mantenido activos en el entorno rural mientras que las empresas ordinarias han dirigido sus actividades a los </w:t>
      </w:r>
      <w:r>
        <w:rPr>
          <w:sz w:val="24"/>
          <w:szCs w:val="24"/>
          <w:lang w:val="es-ES_tradnl"/>
        </w:rPr>
        <w:t>centros</w:t>
      </w:r>
      <w:r w:rsidRPr="00194BD8">
        <w:rPr>
          <w:sz w:val="24"/>
          <w:szCs w:val="24"/>
          <w:lang w:val="es-ES_tradnl"/>
        </w:rPr>
        <w:t xml:space="preserve"> urbanos</w:t>
      </w:r>
      <w:r>
        <w:rPr>
          <w:sz w:val="24"/>
          <w:szCs w:val="24"/>
          <w:lang w:val="es-ES_tradnl"/>
        </w:rPr>
        <w:t>, generando un impacto positivo en este entorno</w:t>
      </w:r>
      <w:r w:rsidRPr="00194BD8">
        <w:rPr>
          <w:sz w:val="24"/>
          <w:szCs w:val="24"/>
          <w:lang w:val="es-ES_tradnl"/>
        </w:rPr>
        <w:t>.</w:t>
      </w:r>
      <w:r>
        <w:rPr>
          <w:sz w:val="24"/>
          <w:szCs w:val="24"/>
          <w:lang w:val="es-ES_tradnl"/>
        </w:rPr>
        <w:t xml:space="preserve"> Otro aspecto beneficios</w:t>
      </w:r>
      <w:r w:rsidRPr="00194BD8">
        <w:rPr>
          <w:sz w:val="24"/>
          <w:szCs w:val="24"/>
          <w:lang w:val="es-ES_tradnl"/>
        </w:rPr>
        <w:t xml:space="preserve"> </w:t>
      </w:r>
      <w:r>
        <w:rPr>
          <w:sz w:val="24"/>
          <w:szCs w:val="24"/>
          <w:lang w:val="es-ES_tradnl"/>
        </w:rPr>
        <w:t xml:space="preserve">para su funcionamiento </w:t>
      </w:r>
      <w:r w:rsidRPr="00194BD8">
        <w:rPr>
          <w:sz w:val="24"/>
          <w:szCs w:val="24"/>
          <w:lang w:val="es-ES_tradnl"/>
        </w:rPr>
        <w:t xml:space="preserve">ha sido la integración de los </w:t>
      </w:r>
      <w:r w:rsidR="00632463">
        <w:rPr>
          <w:sz w:val="24"/>
          <w:szCs w:val="24"/>
          <w:lang w:val="es-ES_tradnl"/>
        </w:rPr>
        <w:t>centros especiales de empleo</w:t>
      </w:r>
      <w:r w:rsidR="00632463" w:rsidRPr="00194BD8">
        <w:rPr>
          <w:sz w:val="24"/>
          <w:szCs w:val="24"/>
          <w:lang w:val="es-ES_tradnl"/>
        </w:rPr>
        <w:t xml:space="preserve"> </w:t>
      </w:r>
      <w:r w:rsidRPr="00194BD8">
        <w:rPr>
          <w:sz w:val="24"/>
          <w:szCs w:val="24"/>
          <w:lang w:val="es-ES_tradnl"/>
        </w:rPr>
        <w:t>de</w:t>
      </w:r>
      <w:r>
        <w:rPr>
          <w:sz w:val="24"/>
          <w:szCs w:val="24"/>
          <w:lang w:val="es-ES_tradnl"/>
        </w:rPr>
        <w:t>ntro de asociaciones mayores</w:t>
      </w:r>
      <w:r w:rsidRPr="00194BD8">
        <w:rPr>
          <w:sz w:val="24"/>
          <w:szCs w:val="24"/>
          <w:lang w:val="es-ES_tradnl"/>
        </w:rPr>
        <w:t xml:space="preserve">. </w:t>
      </w:r>
    </w:p>
    <w:p w:rsidR="00DD114D" w:rsidRPr="00194BD8" w:rsidRDefault="00DD114D" w:rsidP="00163CD7">
      <w:pPr>
        <w:spacing w:line="360" w:lineRule="auto"/>
        <w:jc w:val="both"/>
        <w:rPr>
          <w:sz w:val="24"/>
          <w:szCs w:val="24"/>
          <w:lang w:val="es-ES_tradnl"/>
        </w:rPr>
      </w:pPr>
    </w:p>
    <w:p w:rsidR="00DD114D" w:rsidRDefault="00DD114D" w:rsidP="00163CD7">
      <w:pPr>
        <w:spacing w:line="360" w:lineRule="auto"/>
        <w:jc w:val="both"/>
        <w:rPr>
          <w:sz w:val="24"/>
          <w:szCs w:val="24"/>
          <w:lang w:val="es-ES_tradnl"/>
        </w:rPr>
      </w:pPr>
      <w:r w:rsidRPr="00194BD8">
        <w:rPr>
          <w:sz w:val="24"/>
          <w:szCs w:val="24"/>
          <w:lang w:val="es-ES_tradnl"/>
        </w:rPr>
        <w:t xml:space="preserve">Respecto a </w:t>
      </w:r>
      <w:r w:rsidRPr="002B108E">
        <w:rPr>
          <w:sz w:val="24"/>
          <w:szCs w:val="24"/>
          <w:lang w:val="es-ES_tradnl"/>
        </w:rPr>
        <w:t>las debilidades</w:t>
      </w:r>
      <w:r w:rsidR="00632463">
        <w:rPr>
          <w:sz w:val="24"/>
          <w:szCs w:val="24"/>
          <w:lang w:val="es-ES_tradnl"/>
        </w:rPr>
        <w:t xml:space="preserve"> detectadas, e</w:t>
      </w:r>
      <w:r w:rsidRPr="00194BD8">
        <w:rPr>
          <w:sz w:val="24"/>
          <w:szCs w:val="24"/>
          <w:lang w:val="es-ES_tradnl"/>
        </w:rPr>
        <w:t xml:space="preserve">n primer lugar </w:t>
      </w:r>
      <w:r>
        <w:rPr>
          <w:sz w:val="24"/>
          <w:szCs w:val="24"/>
          <w:lang w:val="es-ES_tradnl"/>
        </w:rPr>
        <w:t xml:space="preserve">citan </w:t>
      </w:r>
      <w:r w:rsidR="00632463">
        <w:rPr>
          <w:sz w:val="24"/>
          <w:szCs w:val="24"/>
          <w:lang w:val="es-ES_tradnl"/>
        </w:rPr>
        <w:t>algunas</w:t>
      </w:r>
      <w:r w:rsidRPr="00194BD8">
        <w:rPr>
          <w:sz w:val="24"/>
          <w:szCs w:val="24"/>
          <w:lang w:val="es-ES_tradnl"/>
        </w:rPr>
        <w:t xml:space="preserve"> de tipo económico-financiero</w:t>
      </w:r>
      <w:r>
        <w:rPr>
          <w:sz w:val="24"/>
          <w:szCs w:val="24"/>
          <w:lang w:val="es-ES_tradnl"/>
        </w:rPr>
        <w:t>,</w:t>
      </w:r>
      <w:r w:rsidRPr="00194BD8">
        <w:rPr>
          <w:sz w:val="24"/>
          <w:szCs w:val="24"/>
          <w:lang w:val="es-ES_tradnl"/>
        </w:rPr>
        <w:t xml:space="preserve"> como la excesiva dependencia de las ayudas externas. También </w:t>
      </w:r>
      <w:r>
        <w:rPr>
          <w:sz w:val="24"/>
          <w:szCs w:val="24"/>
          <w:lang w:val="es-ES_tradnl"/>
        </w:rPr>
        <w:t xml:space="preserve">mencionan que </w:t>
      </w:r>
      <w:r w:rsidRPr="00194BD8">
        <w:rPr>
          <w:sz w:val="24"/>
          <w:szCs w:val="24"/>
          <w:lang w:val="es-ES_tradnl"/>
        </w:rPr>
        <w:t xml:space="preserve">la concentración de </w:t>
      </w:r>
      <w:r w:rsidR="00632463">
        <w:rPr>
          <w:sz w:val="24"/>
          <w:szCs w:val="24"/>
          <w:lang w:val="es-ES_tradnl"/>
        </w:rPr>
        <w:t>su base de clientes</w:t>
      </w:r>
      <w:r>
        <w:rPr>
          <w:sz w:val="24"/>
          <w:szCs w:val="24"/>
          <w:lang w:val="es-ES_tradnl"/>
        </w:rPr>
        <w:t xml:space="preserve"> es negativa para su viabilidad</w:t>
      </w:r>
      <w:r w:rsidRPr="00194BD8">
        <w:rPr>
          <w:sz w:val="24"/>
          <w:szCs w:val="24"/>
          <w:lang w:val="es-ES_tradnl"/>
        </w:rPr>
        <w:t xml:space="preserve">. </w:t>
      </w:r>
    </w:p>
    <w:p w:rsidR="00632463" w:rsidRPr="00194BD8" w:rsidRDefault="00632463" w:rsidP="00163CD7">
      <w:pPr>
        <w:spacing w:line="360" w:lineRule="auto"/>
        <w:jc w:val="both"/>
        <w:rPr>
          <w:sz w:val="24"/>
          <w:szCs w:val="24"/>
          <w:lang w:val="es-ES_tradnl"/>
        </w:rPr>
      </w:pPr>
    </w:p>
    <w:p w:rsidR="00DD114D" w:rsidRDefault="00DD114D" w:rsidP="00163CD7">
      <w:pPr>
        <w:spacing w:line="360" w:lineRule="auto"/>
        <w:jc w:val="both"/>
        <w:rPr>
          <w:sz w:val="24"/>
          <w:szCs w:val="24"/>
          <w:lang w:val="es-ES_tradnl"/>
        </w:rPr>
      </w:pPr>
      <w:r w:rsidRPr="00194BD8">
        <w:rPr>
          <w:sz w:val="24"/>
          <w:szCs w:val="24"/>
          <w:lang w:val="es-ES_tradnl"/>
        </w:rPr>
        <w:t xml:space="preserve">Por otro lado, </w:t>
      </w:r>
      <w:r w:rsidRPr="00604B3D">
        <w:rPr>
          <w:b/>
          <w:sz w:val="24"/>
          <w:szCs w:val="24"/>
          <w:lang w:val="es-ES_tradnl"/>
        </w:rPr>
        <w:t xml:space="preserve">inciden en la necesidad </w:t>
      </w:r>
      <w:r w:rsidR="008B273C">
        <w:rPr>
          <w:b/>
          <w:sz w:val="24"/>
          <w:szCs w:val="24"/>
          <w:lang w:val="es-ES_tradnl"/>
        </w:rPr>
        <w:t xml:space="preserve">de </w:t>
      </w:r>
      <w:r w:rsidRPr="00604B3D">
        <w:rPr>
          <w:b/>
          <w:sz w:val="24"/>
          <w:szCs w:val="24"/>
          <w:lang w:val="es-ES_tradnl"/>
        </w:rPr>
        <w:t xml:space="preserve">incrementar la competitividad y profesionalización de las actividades desarrolladas por los </w:t>
      </w:r>
      <w:r w:rsidR="00632463" w:rsidRPr="00604B3D">
        <w:rPr>
          <w:b/>
          <w:sz w:val="24"/>
          <w:szCs w:val="24"/>
          <w:lang w:val="es-ES_tradnl"/>
        </w:rPr>
        <w:t>centros especiales de empleo</w:t>
      </w:r>
      <w:r w:rsidRPr="00604B3D">
        <w:rPr>
          <w:b/>
          <w:sz w:val="24"/>
          <w:szCs w:val="24"/>
          <w:lang w:val="es-ES_tradnl"/>
        </w:rPr>
        <w:t xml:space="preserve">. Se percibe que son </w:t>
      </w:r>
      <w:r w:rsidR="00632463" w:rsidRPr="00604B3D">
        <w:rPr>
          <w:b/>
          <w:sz w:val="24"/>
          <w:szCs w:val="24"/>
          <w:lang w:val="es-ES_tradnl"/>
        </w:rPr>
        <w:t>poco innovadores</w:t>
      </w:r>
      <w:r w:rsidRPr="00604B3D">
        <w:rPr>
          <w:b/>
          <w:sz w:val="24"/>
          <w:szCs w:val="24"/>
          <w:lang w:val="es-ES_tradnl"/>
        </w:rPr>
        <w:t xml:space="preserve"> en su modelo empresarial y </w:t>
      </w:r>
      <w:r w:rsidR="00632463" w:rsidRPr="00604B3D">
        <w:rPr>
          <w:b/>
          <w:sz w:val="24"/>
          <w:szCs w:val="24"/>
          <w:lang w:val="es-ES_tradnl"/>
        </w:rPr>
        <w:t>con poca intensidad tecnológica</w:t>
      </w:r>
      <w:r w:rsidRPr="00604B3D">
        <w:rPr>
          <w:b/>
          <w:sz w:val="24"/>
          <w:szCs w:val="24"/>
          <w:lang w:val="es-ES_tradnl"/>
        </w:rPr>
        <w:t>.</w:t>
      </w:r>
      <w:r>
        <w:rPr>
          <w:sz w:val="24"/>
          <w:szCs w:val="24"/>
          <w:lang w:val="es-ES_tradnl"/>
        </w:rPr>
        <w:t xml:space="preserve"> También se detecta una </w:t>
      </w:r>
      <w:r w:rsidRPr="00194BD8">
        <w:rPr>
          <w:sz w:val="24"/>
          <w:szCs w:val="24"/>
          <w:lang w:val="es-ES_tradnl"/>
        </w:rPr>
        <w:t xml:space="preserve">escasa flexibilidad a la hora de elegir el sector </w:t>
      </w:r>
      <w:r>
        <w:rPr>
          <w:sz w:val="24"/>
          <w:szCs w:val="24"/>
          <w:lang w:val="es-ES_tradnl"/>
        </w:rPr>
        <w:t xml:space="preserve">del centro </w:t>
      </w:r>
      <w:r w:rsidRPr="00194BD8">
        <w:rPr>
          <w:sz w:val="24"/>
          <w:szCs w:val="24"/>
          <w:lang w:val="es-ES_tradnl"/>
        </w:rPr>
        <w:t>y poca capacidad de vislu</w:t>
      </w:r>
      <w:r>
        <w:rPr>
          <w:sz w:val="24"/>
          <w:szCs w:val="24"/>
          <w:lang w:val="es-ES_tradnl"/>
        </w:rPr>
        <w:t>mbrar nuevos ni</w:t>
      </w:r>
      <w:r w:rsidR="00FC162A">
        <w:rPr>
          <w:sz w:val="24"/>
          <w:szCs w:val="24"/>
          <w:lang w:val="es-ES_tradnl"/>
        </w:rPr>
        <w:t>chos de mercado</w:t>
      </w:r>
      <w:r w:rsidR="00632463">
        <w:rPr>
          <w:sz w:val="24"/>
          <w:szCs w:val="24"/>
          <w:lang w:val="es-ES_tradnl"/>
        </w:rPr>
        <w:t xml:space="preserve"> y de acercarse a </w:t>
      </w:r>
      <w:r w:rsidRPr="00194BD8">
        <w:rPr>
          <w:sz w:val="24"/>
          <w:szCs w:val="24"/>
          <w:lang w:val="es-ES_tradnl"/>
        </w:rPr>
        <w:t xml:space="preserve">actividades con </w:t>
      </w:r>
      <w:r>
        <w:rPr>
          <w:sz w:val="24"/>
          <w:szCs w:val="24"/>
          <w:lang w:val="es-ES_tradnl"/>
        </w:rPr>
        <w:t xml:space="preserve">un mayor </w:t>
      </w:r>
      <w:r w:rsidRPr="00194BD8">
        <w:rPr>
          <w:sz w:val="24"/>
          <w:szCs w:val="24"/>
          <w:lang w:val="es-ES_tradnl"/>
        </w:rPr>
        <w:t xml:space="preserve">potencial exportador. </w:t>
      </w:r>
    </w:p>
    <w:p w:rsidR="00632463" w:rsidRPr="00194BD8" w:rsidRDefault="00632463" w:rsidP="00163CD7">
      <w:pPr>
        <w:spacing w:line="360" w:lineRule="auto"/>
        <w:jc w:val="both"/>
        <w:rPr>
          <w:sz w:val="24"/>
          <w:szCs w:val="24"/>
          <w:lang w:val="es-ES_tradnl"/>
        </w:rPr>
      </w:pPr>
    </w:p>
    <w:p w:rsidR="00DD114D" w:rsidRPr="00194BD8" w:rsidRDefault="00DD114D" w:rsidP="00163CD7">
      <w:pPr>
        <w:spacing w:line="360" w:lineRule="auto"/>
        <w:jc w:val="both"/>
        <w:rPr>
          <w:sz w:val="24"/>
          <w:szCs w:val="24"/>
          <w:lang w:val="es-ES_tradnl"/>
        </w:rPr>
      </w:pPr>
      <w:r w:rsidRPr="00194BD8">
        <w:rPr>
          <w:sz w:val="24"/>
          <w:szCs w:val="24"/>
          <w:lang w:val="es-ES_tradnl"/>
        </w:rPr>
        <w:t>En</w:t>
      </w:r>
      <w:r>
        <w:rPr>
          <w:sz w:val="24"/>
          <w:szCs w:val="24"/>
          <w:lang w:val="es-ES_tradnl"/>
        </w:rPr>
        <w:t>tre</w:t>
      </w:r>
      <w:r w:rsidRPr="00194BD8">
        <w:rPr>
          <w:sz w:val="24"/>
          <w:szCs w:val="24"/>
          <w:lang w:val="es-ES_tradnl"/>
        </w:rPr>
        <w:t xml:space="preserve"> los aspectos sociales, </w:t>
      </w:r>
      <w:r>
        <w:rPr>
          <w:sz w:val="24"/>
          <w:szCs w:val="24"/>
          <w:lang w:val="es-ES_tradnl"/>
        </w:rPr>
        <w:t xml:space="preserve">los gestores </w:t>
      </w:r>
      <w:r w:rsidRPr="00194BD8">
        <w:rPr>
          <w:sz w:val="24"/>
          <w:szCs w:val="24"/>
          <w:lang w:val="es-ES_tradnl"/>
        </w:rPr>
        <w:t>destaca</w:t>
      </w:r>
      <w:r>
        <w:rPr>
          <w:sz w:val="24"/>
          <w:szCs w:val="24"/>
          <w:lang w:val="es-ES_tradnl"/>
        </w:rPr>
        <w:t>n</w:t>
      </w:r>
      <w:r w:rsidRPr="00194BD8">
        <w:rPr>
          <w:sz w:val="24"/>
          <w:szCs w:val="24"/>
          <w:lang w:val="es-ES_tradnl"/>
        </w:rPr>
        <w:t xml:space="preserve"> </w:t>
      </w:r>
      <w:r w:rsidR="00FC162A">
        <w:rPr>
          <w:sz w:val="24"/>
          <w:szCs w:val="24"/>
          <w:lang w:val="es-ES_tradnl"/>
        </w:rPr>
        <w:t>como debilidad principal</w:t>
      </w:r>
      <w:r>
        <w:rPr>
          <w:sz w:val="24"/>
          <w:szCs w:val="24"/>
          <w:lang w:val="es-ES_tradnl"/>
        </w:rPr>
        <w:t xml:space="preserve"> </w:t>
      </w:r>
      <w:r w:rsidRPr="00194BD8">
        <w:rPr>
          <w:sz w:val="24"/>
          <w:szCs w:val="24"/>
          <w:lang w:val="es-ES_tradnl"/>
        </w:rPr>
        <w:t>la dificultad de integrar a personas</w:t>
      </w:r>
      <w:r>
        <w:rPr>
          <w:sz w:val="24"/>
          <w:szCs w:val="24"/>
          <w:lang w:val="es-ES_tradnl"/>
        </w:rPr>
        <w:t xml:space="preserve"> con </w:t>
      </w:r>
      <w:r w:rsidR="00632463">
        <w:rPr>
          <w:sz w:val="24"/>
          <w:szCs w:val="24"/>
          <w:lang w:val="es-ES_tradnl"/>
        </w:rPr>
        <w:t>mayores dificultades</w:t>
      </w:r>
      <w:r w:rsidRPr="00194BD8">
        <w:rPr>
          <w:sz w:val="24"/>
          <w:szCs w:val="24"/>
          <w:lang w:val="es-ES_tradnl"/>
        </w:rPr>
        <w:t xml:space="preserve">. </w:t>
      </w:r>
      <w:r w:rsidR="00FC162A">
        <w:rPr>
          <w:sz w:val="24"/>
          <w:szCs w:val="24"/>
          <w:lang w:val="es-ES_tradnl"/>
        </w:rPr>
        <w:t>También</w:t>
      </w:r>
      <w:r w:rsidRPr="00194BD8">
        <w:rPr>
          <w:sz w:val="24"/>
          <w:szCs w:val="24"/>
          <w:lang w:val="es-ES_tradnl"/>
        </w:rPr>
        <w:t xml:space="preserve"> </w:t>
      </w:r>
      <w:r w:rsidR="00632463">
        <w:rPr>
          <w:sz w:val="24"/>
          <w:szCs w:val="24"/>
          <w:lang w:val="es-ES_tradnl"/>
        </w:rPr>
        <w:t>ponen el acento en la necesidad de avanzar hacia la convergencia salarial</w:t>
      </w:r>
      <w:r w:rsidRPr="00194BD8">
        <w:rPr>
          <w:sz w:val="24"/>
          <w:szCs w:val="24"/>
          <w:lang w:val="es-ES_tradnl"/>
        </w:rPr>
        <w:t xml:space="preserve">. </w:t>
      </w:r>
    </w:p>
    <w:p w:rsidR="00DD114D" w:rsidRPr="00194BD8" w:rsidRDefault="00DD114D" w:rsidP="00163CD7">
      <w:pPr>
        <w:spacing w:line="360" w:lineRule="auto"/>
        <w:jc w:val="both"/>
        <w:rPr>
          <w:sz w:val="24"/>
          <w:szCs w:val="24"/>
          <w:lang w:val="es-ES_tradnl"/>
        </w:rPr>
      </w:pPr>
    </w:p>
    <w:p w:rsidR="00DD114D" w:rsidRPr="00604B3D" w:rsidRDefault="00DD114D" w:rsidP="00163CD7">
      <w:pPr>
        <w:spacing w:line="360" w:lineRule="auto"/>
        <w:jc w:val="both"/>
        <w:rPr>
          <w:b/>
          <w:sz w:val="24"/>
          <w:szCs w:val="24"/>
          <w:lang w:val="es-ES_tradnl"/>
        </w:rPr>
      </w:pPr>
      <w:r w:rsidRPr="00194BD8">
        <w:rPr>
          <w:sz w:val="24"/>
          <w:szCs w:val="24"/>
          <w:lang w:val="es-ES_tradnl"/>
        </w:rPr>
        <w:t xml:space="preserve">Preguntados acerca de las </w:t>
      </w:r>
      <w:r w:rsidRPr="002B108E">
        <w:rPr>
          <w:sz w:val="24"/>
          <w:szCs w:val="24"/>
          <w:lang w:val="es-ES_tradnl"/>
        </w:rPr>
        <w:t>oportunidades</w:t>
      </w:r>
      <w:r w:rsidR="00632463">
        <w:rPr>
          <w:sz w:val="24"/>
          <w:szCs w:val="24"/>
          <w:lang w:val="es-ES_tradnl"/>
        </w:rPr>
        <w:t xml:space="preserve">, </w:t>
      </w:r>
      <w:r>
        <w:rPr>
          <w:sz w:val="24"/>
          <w:szCs w:val="24"/>
          <w:lang w:val="es-ES_tradnl"/>
        </w:rPr>
        <w:t xml:space="preserve">los gestores hacen referencia a </w:t>
      </w:r>
      <w:r w:rsidR="00632463">
        <w:rPr>
          <w:sz w:val="24"/>
          <w:szCs w:val="24"/>
          <w:lang w:val="es-ES_tradnl"/>
        </w:rPr>
        <w:t>los incentivos impulsados</w:t>
      </w:r>
      <w:r>
        <w:rPr>
          <w:sz w:val="24"/>
          <w:szCs w:val="24"/>
          <w:lang w:val="es-ES_tradnl"/>
        </w:rPr>
        <w:t xml:space="preserve"> por las Administraciones Públicas. Algunos ejemplos que citan son la reserva de contratos a los centros especiales de empleo, la apuesta por el empleo protegido como mecanismo más eficiente de integración, o el apoyo al acceso al empleo de personas con discapacidad en empresas convencionales, </w:t>
      </w:r>
      <w:r w:rsidR="00632463">
        <w:rPr>
          <w:sz w:val="24"/>
          <w:szCs w:val="24"/>
          <w:lang w:val="es-ES_tradnl"/>
        </w:rPr>
        <w:t xml:space="preserve">supervisando </w:t>
      </w:r>
      <w:r>
        <w:rPr>
          <w:sz w:val="24"/>
          <w:szCs w:val="24"/>
          <w:lang w:val="es-ES_tradnl"/>
        </w:rPr>
        <w:t xml:space="preserve">que cumplen </w:t>
      </w:r>
      <w:r w:rsidR="00632463">
        <w:rPr>
          <w:sz w:val="24"/>
          <w:szCs w:val="24"/>
          <w:lang w:val="es-ES_tradnl"/>
        </w:rPr>
        <w:t xml:space="preserve">con </w:t>
      </w:r>
      <w:r>
        <w:rPr>
          <w:sz w:val="24"/>
          <w:szCs w:val="24"/>
          <w:lang w:val="es-ES_tradnl"/>
        </w:rPr>
        <w:t xml:space="preserve">sus obligaciones legales. </w:t>
      </w:r>
      <w:r w:rsidRPr="00604B3D">
        <w:rPr>
          <w:b/>
          <w:sz w:val="24"/>
          <w:szCs w:val="24"/>
          <w:lang w:val="es-ES_tradnl"/>
        </w:rPr>
        <w:t>Los gestores también opinan que sería necesaria una mayor sensibilización de la población acerca de la labor y eficacia de los centros especiales de empleo.</w:t>
      </w:r>
    </w:p>
    <w:p w:rsidR="00DD114D" w:rsidRDefault="00DD114D" w:rsidP="00163CD7">
      <w:pPr>
        <w:spacing w:line="360" w:lineRule="auto"/>
        <w:jc w:val="both"/>
        <w:rPr>
          <w:sz w:val="24"/>
          <w:szCs w:val="24"/>
          <w:lang w:val="es-ES_tradnl"/>
        </w:rPr>
      </w:pPr>
    </w:p>
    <w:p w:rsidR="00DD114D" w:rsidRPr="000B3AD7" w:rsidRDefault="00DD114D" w:rsidP="00163CD7">
      <w:pPr>
        <w:spacing w:line="360" w:lineRule="auto"/>
        <w:jc w:val="both"/>
        <w:rPr>
          <w:sz w:val="24"/>
          <w:szCs w:val="24"/>
          <w:lang w:val="es-ES_tradnl"/>
        </w:rPr>
      </w:pPr>
      <w:r>
        <w:rPr>
          <w:sz w:val="24"/>
          <w:szCs w:val="24"/>
          <w:lang w:val="es-ES_tradnl"/>
        </w:rPr>
        <w:t>Por otro lado, mencionan las iniciativas que deberían ser llevadas a cabo por los propios centros. Citan, por ejemplo, cuestiones de gestión, como la necesidad de aprovechar las clá</w:t>
      </w:r>
      <w:r w:rsidRPr="000B3AD7">
        <w:rPr>
          <w:sz w:val="24"/>
          <w:szCs w:val="24"/>
          <w:lang w:val="es-ES_tradnl"/>
        </w:rPr>
        <w:t>usulas sociales y la reserva de la contratación pública de manera más efectiva.</w:t>
      </w:r>
      <w:r>
        <w:rPr>
          <w:sz w:val="24"/>
          <w:szCs w:val="24"/>
          <w:lang w:val="es-ES_tradnl"/>
        </w:rPr>
        <w:t xml:space="preserve"> </w:t>
      </w:r>
      <w:r w:rsidRPr="00604B3D">
        <w:rPr>
          <w:b/>
          <w:sz w:val="24"/>
          <w:szCs w:val="24"/>
          <w:lang w:val="es-ES_tradnl"/>
        </w:rPr>
        <w:t xml:space="preserve">También coinciden en que puede ser beneficioso aprovechar las sinergias entre </w:t>
      </w:r>
      <w:r w:rsidR="00632463" w:rsidRPr="00604B3D">
        <w:rPr>
          <w:b/>
          <w:sz w:val="24"/>
          <w:szCs w:val="24"/>
          <w:lang w:val="es-ES_tradnl"/>
        </w:rPr>
        <w:t xml:space="preserve">centros especiales de empleo </w:t>
      </w:r>
      <w:r w:rsidRPr="00604B3D">
        <w:rPr>
          <w:b/>
          <w:sz w:val="24"/>
          <w:szCs w:val="24"/>
          <w:lang w:val="es-ES_tradnl"/>
        </w:rPr>
        <w:t xml:space="preserve">y aumentar </w:t>
      </w:r>
      <w:r w:rsidR="00632463" w:rsidRPr="00604B3D">
        <w:rPr>
          <w:b/>
          <w:sz w:val="24"/>
          <w:szCs w:val="24"/>
          <w:lang w:val="es-ES_tradnl"/>
        </w:rPr>
        <w:t>el diálogo sectorial para poder tener</w:t>
      </w:r>
      <w:r w:rsidRPr="00604B3D">
        <w:rPr>
          <w:b/>
          <w:sz w:val="24"/>
          <w:szCs w:val="24"/>
          <w:lang w:val="es-ES_tradnl"/>
        </w:rPr>
        <w:t xml:space="preserve"> un mayor poder de diálogo y negociación.</w:t>
      </w:r>
      <w:r>
        <w:rPr>
          <w:sz w:val="24"/>
          <w:szCs w:val="24"/>
          <w:lang w:val="es-ES_tradnl"/>
        </w:rPr>
        <w:t xml:space="preserve"> Finalmente, los gestores consultados coindicen en que los centros tienen que </w:t>
      </w:r>
      <w:r w:rsidRPr="00FB306C">
        <w:rPr>
          <w:b/>
          <w:sz w:val="24"/>
          <w:szCs w:val="24"/>
          <w:lang w:val="es-ES_tradnl"/>
        </w:rPr>
        <w:t xml:space="preserve">buscar oportunidades en otros ámbitos de actuación, ya sea a nivel geográfico o de sector de actividad, y lograr un mayor acceso a mercados internacionales, a las actividades de la economía verde o </w:t>
      </w:r>
      <w:r w:rsidR="00F95D6B" w:rsidRPr="00FB306C">
        <w:rPr>
          <w:b/>
          <w:sz w:val="24"/>
          <w:szCs w:val="24"/>
          <w:lang w:val="es-ES_tradnl"/>
        </w:rPr>
        <w:t xml:space="preserve">a las </w:t>
      </w:r>
      <w:r w:rsidRPr="00FB306C">
        <w:rPr>
          <w:b/>
          <w:sz w:val="24"/>
          <w:szCs w:val="24"/>
          <w:lang w:val="es-ES_tradnl"/>
        </w:rPr>
        <w:t>del sector tecnológico.</w:t>
      </w:r>
      <w:r w:rsidRPr="000B3AD7">
        <w:rPr>
          <w:sz w:val="24"/>
          <w:szCs w:val="24"/>
          <w:lang w:val="es-ES_tradnl"/>
        </w:rPr>
        <w:t xml:space="preserve"> </w:t>
      </w:r>
      <w:r>
        <w:rPr>
          <w:sz w:val="24"/>
          <w:szCs w:val="24"/>
          <w:lang w:val="es-ES_tradnl"/>
        </w:rPr>
        <w:t xml:space="preserve">Por último, </w:t>
      </w:r>
      <w:r w:rsidR="00BF1871">
        <w:rPr>
          <w:sz w:val="24"/>
          <w:szCs w:val="24"/>
          <w:lang w:val="es-ES_tradnl"/>
        </w:rPr>
        <w:t>numerosos</w:t>
      </w:r>
      <w:r>
        <w:rPr>
          <w:sz w:val="24"/>
          <w:szCs w:val="24"/>
          <w:lang w:val="es-ES_tradnl"/>
        </w:rPr>
        <w:t xml:space="preserve"> gestores consultados </w:t>
      </w:r>
      <w:r w:rsidRPr="000B3AD7">
        <w:rPr>
          <w:sz w:val="24"/>
          <w:szCs w:val="24"/>
          <w:lang w:val="es-ES_tradnl"/>
        </w:rPr>
        <w:t>identifica</w:t>
      </w:r>
      <w:r>
        <w:rPr>
          <w:sz w:val="24"/>
          <w:szCs w:val="24"/>
          <w:lang w:val="es-ES_tradnl"/>
        </w:rPr>
        <w:t>n</w:t>
      </w:r>
      <w:r w:rsidRPr="000B3AD7">
        <w:rPr>
          <w:sz w:val="24"/>
          <w:szCs w:val="24"/>
          <w:lang w:val="es-ES_tradnl"/>
        </w:rPr>
        <w:t xml:space="preserve"> una tendencia creciente hacia las com</w:t>
      </w:r>
      <w:r>
        <w:rPr>
          <w:sz w:val="24"/>
          <w:szCs w:val="24"/>
          <w:lang w:val="es-ES_tradnl"/>
        </w:rPr>
        <w:t xml:space="preserve">pras responsables que debe ser </w:t>
      </w:r>
      <w:r w:rsidRPr="000B3AD7">
        <w:rPr>
          <w:sz w:val="24"/>
          <w:szCs w:val="24"/>
          <w:lang w:val="es-ES_tradnl"/>
        </w:rPr>
        <w:t xml:space="preserve">aprovechada por los </w:t>
      </w:r>
      <w:r>
        <w:rPr>
          <w:sz w:val="24"/>
          <w:szCs w:val="24"/>
          <w:lang w:val="es-ES_tradnl"/>
        </w:rPr>
        <w:t>centros especiales de empleo</w:t>
      </w:r>
      <w:r w:rsidRPr="000B3AD7">
        <w:rPr>
          <w:sz w:val="24"/>
          <w:szCs w:val="24"/>
          <w:lang w:val="es-ES_tradnl"/>
        </w:rPr>
        <w:t>.</w:t>
      </w:r>
    </w:p>
    <w:p w:rsidR="00DD114D" w:rsidRPr="00F96F2E" w:rsidRDefault="00DD114D" w:rsidP="00163CD7">
      <w:pPr>
        <w:jc w:val="both"/>
        <w:rPr>
          <w:lang w:val="es-ES_tradnl"/>
        </w:rPr>
      </w:pPr>
    </w:p>
    <w:p w:rsidR="00DD114D" w:rsidRPr="00FF35C2" w:rsidRDefault="00DD114D" w:rsidP="00163CD7">
      <w:pPr>
        <w:pStyle w:val="Prrafodelista"/>
        <w:spacing w:line="360" w:lineRule="auto"/>
        <w:ind w:left="0"/>
        <w:jc w:val="both"/>
        <w:rPr>
          <w:sz w:val="24"/>
          <w:szCs w:val="24"/>
          <w:lang w:val="es-ES_tradnl"/>
        </w:rPr>
      </w:pPr>
    </w:p>
    <w:p w:rsidR="00A414D2" w:rsidRPr="00A414D2" w:rsidRDefault="00A414D2" w:rsidP="00A414D2">
      <w:pPr>
        <w:pStyle w:val="Ttulo1"/>
        <w:rPr>
          <w:lang w:val="es-ES_tradnl"/>
        </w:rPr>
      </w:pPr>
      <w:bookmarkStart w:id="307" w:name="_Toc410916894"/>
      <w:r w:rsidRPr="00A414D2">
        <w:rPr>
          <w:lang w:val="es-ES_tradnl"/>
        </w:rPr>
        <w:t>Recomendaciones para los Centros Especiales de Empleo de Castilla y León</w:t>
      </w:r>
      <w:bookmarkEnd w:id="307"/>
    </w:p>
    <w:p w:rsidR="00A414D2" w:rsidRP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B3663B" w:rsidP="00A414D2">
      <w:pPr>
        <w:pStyle w:val="Ttulo2"/>
        <w:rPr>
          <w:lang w:val="es-ES_tradnl"/>
        </w:rPr>
      </w:pPr>
      <w:bookmarkStart w:id="308" w:name="_Toc410916895"/>
      <w:r>
        <w:rPr>
          <w:lang w:val="es-ES_tradnl"/>
        </w:rPr>
        <w:t>Avanzar</w:t>
      </w:r>
      <w:r w:rsidR="004B48CA">
        <w:rPr>
          <w:lang w:val="es-ES_tradnl"/>
        </w:rPr>
        <w:t xml:space="preserve"> en la profesionalizació</w:t>
      </w:r>
      <w:r>
        <w:rPr>
          <w:lang w:val="es-ES_tradnl"/>
        </w:rPr>
        <w:t>n</w:t>
      </w:r>
      <w:bookmarkEnd w:id="308"/>
    </w:p>
    <w:p w:rsidR="00A414D2" w:rsidRPr="00A414D2" w:rsidRDefault="00A414D2" w:rsidP="00A414D2">
      <w:pPr>
        <w:pStyle w:val="Textoindependiente"/>
        <w:rPr>
          <w:lang w:val="es-ES_tradnl"/>
        </w:rPr>
      </w:pPr>
    </w:p>
    <w:p w:rsidR="00A414D2" w:rsidRDefault="00A414D2" w:rsidP="006C4FB9">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El enorme compromiso social de los centros especiales de empleo puede dar lugar a que, en ocasiones, los propios gestores de los centros olviden que compiten en un mercado abierto. La capacidad de competir está ligada a la calidad de los gestores y a la robustez de los modelos de negocio. Esto hace que sea imprescindible apostar por la formación de los gestores y por la capacidad de los centros de atraer talento a través, entre otros, de la mejora de los sistemas de gestión</w:t>
      </w:r>
      <w:r w:rsidR="00F95D6B">
        <w:rPr>
          <w:rFonts w:ascii="MinionPro-Regular" w:hAnsi="MinionPro-Regular"/>
          <w:sz w:val="24"/>
          <w:szCs w:val="24"/>
          <w:lang w:val="es-ES_tradnl"/>
        </w:rPr>
        <w:t xml:space="preserve"> en la materia</w:t>
      </w:r>
      <w:r>
        <w:rPr>
          <w:rFonts w:ascii="MinionPro-Regular" w:hAnsi="MinionPro-Regular"/>
          <w:sz w:val="24"/>
          <w:szCs w:val="24"/>
          <w:lang w:val="es-ES_tradnl"/>
        </w:rPr>
        <w:t>.</w:t>
      </w:r>
    </w:p>
    <w:p w:rsidR="00A414D2" w:rsidRPr="00DF7885"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Además de los pasos que puedan dar los centros en solitario, avanzar en la profesionalización de los centros requiere una combinación de esfuerzos entre la administración pública y el propio sector. En este sentido, sería recomendable establecer un sistema de acreditaciones, impulsado por el propio sector o por un tercero independiente, que estableciera los </w:t>
      </w:r>
      <w:r w:rsidRPr="006710F8">
        <w:rPr>
          <w:rFonts w:ascii="MinionPro-Regular" w:hAnsi="MinionPro-Regular"/>
          <w:sz w:val="24"/>
          <w:szCs w:val="24"/>
          <w:lang w:val="es-ES_tradnl"/>
        </w:rPr>
        <w:t>requerimientos mínimos que, en</w:t>
      </w:r>
      <w:r>
        <w:rPr>
          <w:rFonts w:ascii="MinionPro-Regular" w:hAnsi="MinionPro-Regular"/>
          <w:sz w:val="24"/>
          <w:szCs w:val="24"/>
          <w:lang w:val="es-ES_tradnl"/>
        </w:rPr>
        <w:t xml:space="preserve"> términos de modelo de gestión </w:t>
      </w:r>
      <w:r w:rsidRPr="006710F8">
        <w:rPr>
          <w:rFonts w:ascii="MinionPro-Regular" w:hAnsi="MinionPro-Regular"/>
          <w:sz w:val="24"/>
          <w:szCs w:val="24"/>
          <w:lang w:val="es-ES_tradnl"/>
        </w:rPr>
        <w:t>y desarrollo personal y profesional de las personas, debe reunir un centro especial de empleo</w:t>
      </w:r>
      <w:r w:rsidR="00F95D6B">
        <w:rPr>
          <w:rFonts w:ascii="MinionPro-Regular" w:hAnsi="MinionPro-Regular"/>
          <w:sz w:val="24"/>
          <w:szCs w:val="24"/>
          <w:lang w:val="es-ES_tradnl"/>
        </w:rPr>
        <w:t xml:space="preserve"> para ser acreditado como tal.</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sidRPr="00B06DF6">
        <w:rPr>
          <w:rFonts w:ascii="MinionPro-Regular" w:hAnsi="MinionPro-Regular"/>
          <w:sz w:val="24"/>
          <w:szCs w:val="24"/>
          <w:lang w:val="es-ES_tradnl"/>
        </w:rPr>
        <w:t xml:space="preserve">La creación de un sistema de acreditaciones podría impulsar a los centros a adherirse a un código de buen gobierno, así como a certificarse en transparencia, en calidad </w:t>
      </w:r>
      <w:r w:rsidR="00F95D6B">
        <w:rPr>
          <w:rFonts w:ascii="MinionPro-Regular" w:hAnsi="MinionPro-Regular"/>
          <w:sz w:val="24"/>
          <w:szCs w:val="24"/>
          <w:lang w:val="es-ES_tradnl"/>
        </w:rPr>
        <w:t>o en otras materias</w:t>
      </w:r>
      <w:r w:rsidRPr="00B06DF6">
        <w:rPr>
          <w:rFonts w:ascii="MinionPro-Regular" w:hAnsi="MinionPro-Regular"/>
          <w:sz w:val="24"/>
          <w:szCs w:val="24"/>
          <w:lang w:val="es-ES_tradnl"/>
        </w:rPr>
        <w:t xml:space="preserve">. La adopción de estos requerimientos mínimos podría ayudar a </w:t>
      </w:r>
      <w:r w:rsidR="00F95D6B">
        <w:rPr>
          <w:rFonts w:ascii="MinionPro-Regular" w:hAnsi="MinionPro-Regular"/>
          <w:sz w:val="24"/>
          <w:szCs w:val="24"/>
          <w:lang w:val="es-ES_tradnl"/>
        </w:rPr>
        <w:t>reforzar</w:t>
      </w:r>
      <w:r w:rsidR="00EB57A7">
        <w:rPr>
          <w:rFonts w:ascii="MinionPro-Regular" w:hAnsi="MinionPro-Regular"/>
          <w:sz w:val="24"/>
          <w:szCs w:val="24"/>
          <w:lang w:val="es-ES_tradnl"/>
        </w:rPr>
        <w:t xml:space="preserve"> la calidad de los modelos de gestión de los centros y a reforzar su</w:t>
      </w:r>
      <w:r w:rsidR="00F95D6B">
        <w:rPr>
          <w:rFonts w:ascii="MinionPro-Regular" w:hAnsi="MinionPro-Regular"/>
          <w:sz w:val="24"/>
          <w:szCs w:val="24"/>
          <w:lang w:val="es-ES_tradnl"/>
        </w:rPr>
        <w:t xml:space="preserve"> posición frente a la opinión pública y, por lo tanto, frente a sus clientes</w:t>
      </w:r>
      <w:r w:rsidRPr="00B06DF6">
        <w:rPr>
          <w:rFonts w:ascii="MinionPro-Regular" w:hAnsi="MinionPro-Regular"/>
          <w:sz w:val="24"/>
          <w:szCs w:val="24"/>
          <w:lang w:val="es-ES_tradnl"/>
        </w:rPr>
        <w:t>.</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Los requerimientos, que deberían partir de lo establecido en la legislación, deberían asegurar la adecuada incorporación de las personas con discapacidad y la mejora de su em</w:t>
      </w:r>
      <w:r w:rsidRPr="009A614C">
        <w:rPr>
          <w:rFonts w:ascii="MinionPro-Regular" w:hAnsi="MinionPro-Regular"/>
          <w:sz w:val="24"/>
          <w:szCs w:val="24"/>
          <w:lang w:val="es-ES_tradnl"/>
        </w:rPr>
        <w:t xml:space="preserve">pleabilidad. La especificación para la gestión ética y profesionalizada de los </w:t>
      </w:r>
      <w:r w:rsidR="00F95D6B">
        <w:rPr>
          <w:sz w:val="24"/>
          <w:szCs w:val="24"/>
          <w:lang w:val="es-ES_tradnl"/>
        </w:rPr>
        <w:t>centros especiales de empleo</w:t>
      </w:r>
      <w:r w:rsidRPr="009A614C">
        <w:rPr>
          <w:rFonts w:ascii="MinionPro-Regular" w:hAnsi="MinionPro-Regular"/>
          <w:sz w:val="24"/>
          <w:szCs w:val="24"/>
          <w:lang w:val="es-ES_tradnl"/>
        </w:rPr>
        <w:t xml:space="preserve"> de FEACEM y AENOR, o el sello </w:t>
      </w:r>
      <w:r w:rsidRPr="006C4FB9">
        <w:rPr>
          <w:rFonts w:ascii="MinionPro-Regular" w:hAnsi="MinionPro-Regular"/>
          <w:sz w:val="24"/>
          <w:szCs w:val="24"/>
          <w:lang w:val="es-ES_tradnl"/>
        </w:rPr>
        <w:t xml:space="preserve">Bequal, gestionado por la fundación que lleva el mismo nombre y que pretende certificar a las empresas responsables con la discapacidad, podrían constituir </w:t>
      </w:r>
      <w:r w:rsidR="00F95D6B">
        <w:rPr>
          <w:rFonts w:ascii="MinionPro-Regular" w:hAnsi="MinionPro-Regular"/>
          <w:sz w:val="24"/>
          <w:szCs w:val="24"/>
          <w:lang w:val="es-ES_tradnl"/>
        </w:rPr>
        <w:t>estándares de actuación en el sector</w:t>
      </w:r>
      <w:r w:rsidRPr="006C4FB9">
        <w:rPr>
          <w:rFonts w:ascii="MinionPro-Regular" w:hAnsi="MinionPro-Regular"/>
          <w:sz w:val="24"/>
          <w:szCs w:val="24"/>
          <w:lang w:val="es-ES_tradnl"/>
        </w:rPr>
        <w:t>.</w:t>
      </w:r>
    </w:p>
    <w:p w:rsidR="00EB57A7" w:rsidRDefault="00EB57A7" w:rsidP="00A414D2">
      <w:pPr>
        <w:autoSpaceDE w:val="0"/>
        <w:autoSpaceDN w:val="0"/>
        <w:spacing w:line="360" w:lineRule="auto"/>
        <w:jc w:val="both"/>
        <w:rPr>
          <w:rFonts w:ascii="MinionPro-Regular" w:hAnsi="MinionPro-Regular"/>
          <w:sz w:val="24"/>
          <w:szCs w:val="24"/>
          <w:lang w:val="es-ES_tradnl"/>
        </w:rPr>
      </w:pPr>
    </w:p>
    <w:p w:rsidR="00EB57A7" w:rsidRDefault="00EB57A7"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También cabría poner el foco en asegurar que los gestores tienen a su disposición módulos de formación específicos y orientados a aquellos asuntos que hacen diferente el modelo de los </w:t>
      </w:r>
      <w:r>
        <w:rPr>
          <w:sz w:val="24"/>
          <w:szCs w:val="24"/>
          <w:lang w:val="es-ES_tradnl"/>
        </w:rPr>
        <w:t>centros especiales de empleo.</w:t>
      </w:r>
    </w:p>
    <w:p w:rsidR="00381D6A" w:rsidRPr="00C1570F" w:rsidRDefault="00381D6A" w:rsidP="00A414D2">
      <w:pPr>
        <w:autoSpaceDE w:val="0"/>
        <w:autoSpaceDN w:val="0"/>
        <w:spacing w:line="360" w:lineRule="auto"/>
        <w:jc w:val="both"/>
        <w:rPr>
          <w:rFonts w:ascii="MinionPro-Regular" w:hAnsi="MinionPro-Regular"/>
          <w:sz w:val="24"/>
          <w:szCs w:val="24"/>
          <w:lang w:val="es-ES_tradnl"/>
        </w:rPr>
      </w:pPr>
    </w:p>
    <w:p w:rsidR="00A414D2" w:rsidRPr="00A414D2" w:rsidRDefault="00B3663B" w:rsidP="00A414D2">
      <w:pPr>
        <w:pStyle w:val="Ttulo2"/>
        <w:spacing w:before="0" w:line="360" w:lineRule="auto"/>
        <w:jc w:val="both"/>
        <w:rPr>
          <w:lang w:val="es-ES_tradnl"/>
        </w:rPr>
      </w:pPr>
      <w:bookmarkStart w:id="309" w:name="_Toc410916896"/>
      <w:r>
        <w:rPr>
          <w:lang w:val="es-ES_tradnl"/>
        </w:rPr>
        <w:t>Explorar la generación de</w:t>
      </w:r>
      <w:r w:rsidR="00EB57A7">
        <w:rPr>
          <w:lang w:val="es-ES_tradnl"/>
        </w:rPr>
        <w:t xml:space="preserve"> alianzas</w:t>
      </w:r>
      <w:bookmarkEnd w:id="309"/>
    </w:p>
    <w:p w:rsidR="00A414D2" w:rsidRPr="00A414D2" w:rsidRDefault="00A414D2" w:rsidP="00A414D2">
      <w:pPr>
        <w:spacing w:line="360" w:lineRule="auto"/>
        <w:jc w:val="both"/>
        <w:rPr>
          <w:rFonts w:ascii="MinionPro-Regular" w:hAnsi="MinionPro-Regular"/>
          <w:b/>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rPr>
      </w:pPr>
      <w:r>
        <w:rPr>
          <w:rFonts w:ascii="MinionPro-Regular" w:hAnsi="MinionPro-Regular"/>
          <w:sz w:val="24"/>
          <w:szCs w:val="24"/>
        </w:rPr>
        <w:t>Un paso que podrían dar los centros de cara a reforzar su modelo conllevaría incorpora</w:t>
      </w:r>
      <w:r w:rsidRPr="007D7F83">
        <w:rPr>
          <w:rFonts w:ascii="MinionPro-Regular" w:hAnsi="MinionPro-Regular"/>
          <w:sz w:val="24"/>
          <w:szCs w:val="24"/>
        </w:rPr>
        <w:t xml:space="preserve">r </w:t>
      </w:r>
      <w:r>
        <w:rPr>
          <w:rFonts w:ascii="MinionPro-Regular" w:hAnsi="MinionPro-Regular"/>
          <w:sz w:val="24"/>
          <w:szCs w:val="24"/>
        </w:rPr>
        <w:t xml:space="preserve">y compartir </w:t>
      </w:r>
      <w:r w:rsidRPr="007D7F83">
        <w:rPr>
          <w:rFonts w:ascii="MinionPro-Regular" w:hAnsi="MinionPro-Regular"/>
          <w:sz w:val="24"/>
          <w:szCs w:val="24"/>
        </w:rPr>
        <w:t xml:space="preserve">buenas prácticas de gestión. </w:t>
      </w:r>
      <w:r>
        <w:rPr>
          <w:rFonts w:ascii="MinionPro-Regular" w:hAnsi="MinionPro-Regular"/>
          <w:sz w:val="24"/>
          <w:szCs w:val="24"/>
        </w:rPr>
        <w:t xml:space="preserve">La </w:t>
      </w:r>
      <w:r w:rsidR="00EB57A7">
        <w:rPr>
          <w:rFonts w:ascii="MinionPro-Regular" w:hAnsi="MinionPro-Regular"/>
          <w:sz w:val="24"/>
          <w:szCs w:val="24"/>
        </w:rPr>
        <w:t xml:space="preserve">difusión y </w:t>
      </w:r>
      <w:r>
        <w:rPr>
          <w:rFonts w:ascii="MinionPro-Regular" w:hAnsi="MinionPro-Regular"/>
          <w:sz w:val="24"/>
          <w:szCs w:val="24"/>
        </w:rPr>
        <w:t xml:space="preserve">adopción de prácticas que hayan demostrado ser eficaces en un determinado sector </w:t>
      </w:r>
      <w:r w:rsidR="00EB57A7">
        <w:rPr>
          <w:rFonts w:ascii="MinionPro-Regular" w:hAnsi="MinionPro-Regular"/>
          <w:sz w:val="24"/>
          <w:szCs w:val="24"/>
        </w:rPr>
        <w:t>podría exportarse al mismo sector o a otros sectores</w:t>
      </w:r>
      <w:r>
        <w:rPr>
          <w:rFonts w:ascii="MinionPro-Regular" w:hAnsi="MinionPro-Regular"/>
          <w:sz w:val="24"/>
          <w:szCs w:val="24"/>
        </w:rPr>
        <w:t xml:space="preserve">. </w:t>
      </w:r>
      <w:r w:rsidRPr="0042650D">
        <w:rPr>
          <w:rFonts w:ascii="MinionPro-Regular" w:hAnsi="MinionPro-Regular"/>
          <w:sz w:val="24"/>
          <w:szCs w:val="24"/>
        </w:rPr>
        <w:t xml:space="preserve">En </w:t>
      </w:r>
      <w:r w:rsidR="00EB57A7">
        <w:rPr>
          <w:rFonts w:ascii="MinionPro-Regular" w:hAnsi="MinionPro-Regular"/>
          <w:sz w:val="24"/>
          <w:szCs w:val="24"/>
        </w:rPr>
        <w:t>este sentido</w:t>
      </w:r>
      <w:r w:rsidR="004A7B55">
        <w:rPr>
          <w:rFonts w:ascii="MinionPro-Regular" w:hAnsi="MinionPro-Regular"/>
          <w:sz w:val="24"/>
          <w:szCs w:val="24"/>
        </w:rPr>
        <w:t>, cabría buscar alianzas</w:t>
      </w:r>
      <w:r w:rsidRPr="0042650D">
        <w:rPr>
          <w:rFonts w:ascii="MinionPro-Regular" w:hAnsi="MinionPro-Regular"/>
          <w:sz w:val="24"/>
          <w:szCs w:val="24"/>
        </w:rPr>
        <w:t xml:space="preserve"> entre </w:t>
      </w:r>
      <w:r w:rsidR="004A7B55">
        <w:rPr>
          <w:sz w:val="24"/>
          <w:szCs w:val="24"/>
          <w:lang w:val="es-ES_tradnl"/>
        </w:rPr>
        <w:t>centros especiales de empleo</w:t>
      </w:r>
      <w:r w:rsidR="004A7B55" w:rsidRPr="0042650D">
        <w:rPr>
          <w:rFonts w:ascii="MinionPro-Regular" w:hAnsi="MinionPro-Regular"/>
          <w:sz w:val="24"/>
          <w:szCs w:val="24"/>
        </w:rPr>
        <w:t xml:space="preserve"> </w:t>
      </w:r>
      <w:r w:rsidRPr="0042650D">
        <w:rPr>
          <w:rFonts w:ascii="MinionPro-Regular" w:hAnsi="MinionPro-Regular"/>
          <w:sz w:val="24"/>
          <w:szCs w:val="24"/>
        </w:rPr>
        <w:t>para compartir buenas prácticas</w:t>
      </w:r>
      <w:r w:rsidR="004A7B55">
        <w:rPr>
          <w:rFonts w:ascii="MinionPro-Regular" w:hAnsi="MinionPro-Regular"/>
          <w:sz w:val="24"/>
          <w:szCs w:val="24"/>
        </w:rPr>
        <w:t xml:space="preserve"> en distintos ámbitos de gestión</w:t>
      </w:r>
      <w:r w:rsidR="00EB57A7">
        <w:rPr>
          <w:rFonts w:ascii="MinionPro-Regular" w:hAnsi="MinionPro-Regular"/>
          <w:sz w:val="24"/>
          <w:szCs w:val="24"/>
        </w:rPr>
        <w:t xml:space="preserve"> que son críticos para el desarrollo y prosperidad del modelo</w:t>
      </w:r>
      <w:r w:rsidR="004A7B55">
        <w:rPr>
          <w:rFonts w:ascii="MinionPro-Regular" w:hAnsi="MinionPro-Regular"/>
          <w:sz w:val="24"/>
          <w:szCs w:val="24"/>
        </w:rPr>
        <w:t>, como la I+D o la gestión de las personas, entre otros</w:t>
      </w:r>
      <w:r w:rsidRPr="0042650D">
        <w:rPr>
          <w:rFonts w:ascii="MinionPro-Regular" w:hAnsi="MinionPro-Regular"/>
          <w:sz w:val="24"/>
          <w:szCs w:val="24"/>
        </w:rPr>
        <w:t xml:space="preserve">. </w:t>
      </w:r>
    </w:p>
    <w:p w:rsidR="00A414D2" w:rsidRDefault="00A414D2" w:rsidP="00A414D2">
      <w:pPr>
        <w:autoSpaceDE w:val="0"/>
        <w:autoSpaceDN w:val="0"/>
        <w:spacing w:line="360" w:lineRule="auto"/>
        <w:jc w:val="both"/>
        <w:rPr>
          <w:rFonts w:ascii="MinionPro-Regular" w:hAnsi="MinionPro-Regular"/>
          <w:sz w:val="24"/>
          <w:szCs w:val="24"/>
        </w:rPr>
      </w:pPr>
    </w:p>
    <w:p w:rsidR="00A414D2" w:rsidRDefault="00A414D2" w:rsidP="00A414D2">
      <w:pPr>
        <w:autoSpaceDE w:val="0"/>
        <w:autoSpaceDN w:val="0"/>
        <w:spacing w:line="360" w:lineRule="auto"/>
        <w:jc w:val="both"/>
        <w:rPr>
          <w:rFonts w:ascii="MinionPro-Regular" w:hAnsi="MinionPro-Regular"/>
          <w:sz w:val="24"/>
          <w:szCs w:val="24"/>
        </w:rPr>
      </w:pPr>
      <w:r w:rsidRPr="0042650D">
        <w:rPr>
          <w:rFonts w:ascii="MinionPro-Regular" w:hAnsi="MinionPro-Regular"/>
          <w:sz w:val="24"/>
          <w:szCs w:val="24"/>
        </w:rPr>
        <w:t xml:space="preserve">Como se ha puesto de manifiesto en este estudio, existe en Castilla y León </w:t>
      </w:r>
      <w:r w:rsidR="004A7B55">
        <w:rPr>
          <w:rFonts w:ascii="MinionPro-Regular" w:hAnsi="MinionPro-Regular"/>
          <w:sz w:val="24"/>
          <w:szCs w:val="24"/>
        </w:rPr>
        <w:t xml:space="preserve">una cierta </w:t>
      </w:r>
      <w:r w:rsidRPr="0042650D">
        <w:rPr>
          <w:rFonts w:ascii="MinionPro-Regular" w:hAnsi="MinionPro-Regular"/>
          <w:sz w:val="24"/>
          <w:szCs w:val="24"/>
        </w:rPr>
        <w:t xml:space="preserve">atomización </w:t>
      </w:r>
      <w:r w:rsidR="004A7B55">
        <w:rPr>
          <w:rFonts w:ascii="MinionPro-Regular" w:hAnsi="MinionPro-Regular"/>
          <w:sz w:val="24"/>
          <w:szCs w:val="24"/>
        </w:rPr>
        <w:t>en el sector</w:t>
      </w:r>
      <w:r>
        <w:rPr>
          <w:rFonts w:ascii="MinionPro-Regular" w:hAnsi="MinionPro-Regular"/>
          <w:sz w:val="24"/>
          <w:szCs w:val="24"/>
        </w:rPr>
        <w:t>, siendo</w:t>
      </w:r>
      <w:r w:rsidRPr="0042650D">
        <w:rPr>
          <w:rFonts w:ascii="MinionPro-Regular" w:hAnsi="MinionPro-Regular"/>
          <w:sz w:val="24"/>
          <w:szCs w:val="24"/>
        </w:rPr>
        <w:t xml:space="preserve"> </w:t>
      </w:r>
      <w:r w:rsidR="00BF1871">
        <w:rPr>
          <w:rFonts w:ascii="MinionPro-Regular" w:hAnsi="MinionPro-Regular"/>
          <w:sz w:val="24"/>
          <w:szCs w:val="24"/>
        </w:rPr>
        <w:t xml:space="preserve">un buen número </w:t>
      </w:r>
      <w:r>
        <w:rPr>
          <w:rFonts w:ascii="MinionPro-Regular" w:hAnsi="MinionPro-Regular"/>
          <w:sz w:val="24"/>
          <w:szCs w:val="24"/>
        </w:rPr>
        <w:t xml:space="preserve">de </w:t>
      </w:r>
      <w:r w:rsidR="004A7B55">
        <w:rPr>
          <w:sz w:val="24"/>
          <w:szCs w:val="24"/>
          <w:lang w:val="es-ES_tradnl"/>
        </w:rPr>
        <w:t>centros especiales de empleo</w:t>
      </w:r>
      <w:r w:rsidR="004A7B55" w:rsidRPr="0042650D">
        <w:rPr>
          <w:rFonts w:ascii="MinionPro-Regular" w:hAnsi="MinionPro-Regular"/>
          <w:sz w:val="24"/>
          <w:szCs w:val="24"/>
        </w:rPr>
        <w:t xml:space="preserve"> </w:t>
      </w:r>
      <w:r w:rsidRPr="0042650D">
        <w:rPr>
          <w:rFonts w:ascii="MinionPro-Regular" w:hAnsi="MinionPro-Regular"/>
          <w:sz w:val="24"/>
          <w:szCs w:val="24"/>
        </w:rPr>
        <w:t xml:space="preserve">pequeños y </w:t>
      </w:r>
      <w:r w:rsidR="00BF1871">
        <w:rPr>
          <w:rFonts w:ascii="MinionPro-Regular" w:hAnsi="MinionPro-Regular"/>
          <w:sz w:val="24"/>
          <w:szCs w:val="24"/>
        </w:rPr>
        <w:t>concentrados en las mismas actividades</w:t>
      </w:r>
      <w:r w:rsidRPr="0042650D">
        <w:rPr>
          <w:rFonts w:ascii="MinionPro-Regular" w:hAnsi="MinionPro-Regular"/>
          <w:sz w:val="24"/>
          <w:szCs w:val="24"/>
        </w:rPr>
        <w:t>. Sería recomendable</w:t>
      </w:r>
      <w:r>
        <w:rPr>
          <w:rFonts w:ascii="MinionPro-Regular" w:hAnsi="MinionPro-Regular"/>
          <w:sz w:val="24"/>
          <w:szCs w:val="24"/>
        </w:rPr>
        <w:t xml:space="preserve">, por lo tanto, </w:t>
      </w:r>
      <w:r w:rsidR="006F51AE">
        <w:rPr>
          <w:rFonts w:ascii="MinionPro-Regular" w:hAnsi="MinionPro-Regular"/>
          <w:sz w:val="24"/>
          <w:szCs w:val="24"/>
        </w:rPr>
        <w:t xml:space="preserve">buscar oportunidades para el diálogo, que permitieran a los </w:t>
      </w:r>
      <w:r>
        <w:rPr>
          <w:rFonts w:ascii="MinionPro-Regular" w:hAnsi="MinionPro-Regular"/>
          <w:sz w:val="24"/>
          <w:szCs w:val="24"/>
        </w:rPr>
        <w:t>centros</w:t>
      </w:r>
      <w:r w:rsidR="006F51AE">
        <w:rPr>
          <w:rFonts w:ascii="MinionPro-Regular" w:hAnsi="MinionPro-Regular"/>
          <w:sz w:val="24"/>
          <w:szCs w:val="24"/>
        </w:rPr>
        <w:t xml:space="preserve"> generar espacios conjuntos en los que compartir enfoques, ideas o incluso actividades que los hicieran más eficientes y, por lo tanto, competitivos</w:t>
      </w:r>
      <w:r>
        <w:rPr>
          <w:rFonts w:ascii="MinionPro-Regular" w:hAnsi="MinionPro-Regular"/>
          <w:sz w:val="24"/>
          <w:szCs w:val="24"/>
        </w:rPr>
        <w:t xml:space="preserve">. En algunos casos, los centros incluso podrían evaluar la posibilidad de </w:t>
      </w:r>
      <w:r w:rsidR="004A7B55">
        <w:rPr>
          <w:rFonts w:ascii="MinionPro-Regular" w:hAnsi="MinionPro-Regular"/>
          <w:sz w:val="24"/>
          <w:szCs w:val="24"/>
        </w:rPr>
        <w:t>desarrollar iniciativas conjuntas</w:t>
      </w:r>
      <w:r>
        <w:rPr>
          <w:rFonts w:ascii="MinionPro-Regular" w:hAnsi="MinionPro-Regular"/>
          <w:sz w:val="24"/>
          <w:szCs w:val="24"/>
        </w:rPr>
        <w:t xml:space="preserve"> </w:t>
      </w:r>
      <w:r w:rsidR="006F51AE">
        <w:rPr>
          <w:rFonts w:ascii="MinionPro-Regular" w:hAnsi="MinionPro-Regular"/>
          <w:sz w:val="24"/>
          <w:szCs w:val="24"/>
        </w:rPr>
        <w:t xml:space="preserve">de aproximación al mercado </w:t>
      </w:r>
      <w:r>
        <w:rPr>
          <w:rFonts w:ascii="MinionPro-Regular" w:hAnsi="MinionPro-Regular"/>
          <w:sz w:val="24"/>
          <w:szCs w:val="24"/>
        </w:rPr>
        <w:t>para poder explotar sinergias.</w:t>
      </w:r>
    </w:p>
    <w:p w:rsidR="00A414D2" w:rsidRDefault="00A414D2" w:rsidP="00A414D2">
      <w:pPr>
        <w:autoSpaceDE w:val="0"/>
        <w:autoSpaceDN w:val="0"/>
        <w:spacing w:line="360" w:lineRule="auto"/>
        <w:jc w:val="both"/>
        <w:rPr>
          <w:rFonts w:ascii="MinionPro-Regular" w:hAnsi="MinionPro-Regular"/>
          <w:sz w:val="24"/>
          <w:szCs w:val="24"/>
        </w:rPr>
      </w:pPr>
    </w:p>
    <w:p w:rsidR="00A414D2" w:rsidRDefault="00A414D2" w:rsidP="00A414D2">
      <w:pPr>
        <w:autoSpaceDE w:val="0"/>
        <w:autoSpaceDN w:val="0"/>
        <w:spacing w:line="360" w:lineRule="auto"/>
        <w:jc w:val="both"/>
        <w:rPr>
          <w:rFonts w:ascii="MinionPro-Regular" w:hAnsi="MinionPro-Regular"/>
          <w:sz w:val="24"/>
          <w:szCs w:val="24"/>
          <w:lang w:val="es-ES_tradnl"/>
        </w:rPr>
      </w:pPr>
      <w:r w:rsidRPr="001F3750">
        <w:rPr>
          <w:rFonts w:ascii="MinionPro-Regular" w:hAnsi="MinionPro-Regular"/>
          <w:sz w:val="24"/>
          <w:szCs w:val="24"/>
        </w:rPr>
        <w:t xml:space="preserve">La </w:t>
      </w:r>
      <w:r w:rsidR="004A7B55">
        <w:rPr>
          <w:rFonts w:ascii="MinionPro-Regular" w:hAnsi="MinionPro-Regular"/>
          <w:sz w:val="24"/>
          <w:szCs w:val="24"/>
        </w:rPr>
        <w:t>colaboración</w:t>
      </w:r>
      <w:r w:rsidRPr="001F3750">
        <w:rPr>
          <w:rFonts w:ascii="MinionPro-Regular" w:hAnsi="MinionPro-Regular"/>
          <w:sz w:val="24"/>
          <w:szCs w:val="24"/>
        </w:rPr>
        <w:t xml:space="preserve"> entre centros y la creación de espacios conjuntos </w:t>
      </w:r>
      <w:r>
        <w:rPr>
          <w:rFonts w:ascii="MinionPro-Regular" w:hAnsi="MinionPro-Regular"/>
          <w:sz w:val="24"/>
          <w:szCs w:val="24"/>
        </w:rPr>
        <w:t xml:space="preserve">puede </w:t>
      </w:r>
      <w:r w:rsidR="006F51AE">
        <w:rPr>
          <w:rFonts w:ascii="MinionPro-Regular" w:hAnsi="MinionPro-Regular"/>
          <w:sz w:val="24"/>
          <w:szCs w:val="24"/>
        </w:rPr>
        <w:t>ayudar a reforzar el enfoque al cliente</w:t>
      </w:r>
      <w:r w:rsidRPr="001F3750">
        <w:rPr>
          <w:rFonts w:ascii="MinionPro-Regular" w:hAnsi="MinionPro-Regular"/>
          <w:sz w:val="24"/>
          <w:szCs w:val="24"/>
        </w:rPr>
        <w:t xml:space="preserve"> y </w:t>
      </w:r>
      <w:r w:rsidR="006F51AE">
        <w:rPr>
          <w:rFonts w:ascii="MinionPro-Regular" w:hAnsi="MinionPro-Regular"/>
          <w:sz w:val="24"/>
          <w:szCs w:val="24"/>
        </w:rPr>
        <w:t xml:space="preserve">ayudar a </w:t>
      </w:r>
      <w:r w:rsidRPr="001F3750">
        <w:rPr>
          <w:rFonts w:ascii="MinionPro-Regular" w:hAnsi="MinionPro-Regular"/>
          <w:sz w:val="24"/>
          <w:szCs w:val="24"/>
        </w:rPr>
        <w:t xml:space="preserve">ofrecer mejores productos y servicios en el mercado. Esto es especialmente cierto en sectores en los que hace falta una </w:t>
      </w:r>
      <w:r w:rsidR="004A7B55">
        <w:rPr>
          <w:rFonts w:ascii="MinionPro-Regular" w:hAnsi="MinionPro-Regular"/>
          <w:sz w:val="24"/>
          <w:szCs w:val="24"/>
        </w:rPr>
        <w:t>cierta escala</w:t>
      </w:r>
      <w:r w:rsidRPr="001F3750">
        <w:rPr>
          <w:rFonts w:ascii="MinionPro-Regular" w:hAnsi="MinionPro-Regular"/>
          <w:sz w:val="24"/>
          <w:szCs w:val="24"/>
        </w:rPr>
        <w:t xml:space="preserve"> </w:t>
      </w:r>
      <w:r>
        <w:rPr>
          <w:rFonts w:ascii="MinionPro-Regular" w:hAnsi="MinionPro-Regular"/>
          <w:sz w:val="24"/>
          <w:szCs w:val="24"/>
        </w:rPr>
        <w:t xml:space="preserve">para ser rentable, así como en </w:t>
      </w:r>
      <w:r>
        <w:rPr>
          <w:rFonts w:ascii="MinionPro-Regular" w:hAnsi="MinionPro-Regular"/>
          <w:sz w:val="24"/>
          <w:szCs w:val="24"/>
          <w:lang w:val="es-ES_tradnl"/>
        </w:rPr>
        <w:t xml:space="preserve">sectores maduros, donde </w:t>
      </w:r>
      <w:r w:rsidR="004A7B55">
        <w:rPr>
          <w:rFonts w:ascii="MinionPro-Regular" w:hAnsi="MinionPro-Regular"/>
          <w:sz w:val="24"/>
          <w:szCs w:val="24"/>
          <w:lang w:val="es-ES_tradnl"/>
        </w:rPr>
        <w:t>es necesario competir en precio</w:t>
      </w:r>
      <w:r>
        <w:rPr>
          <w:rFonts w:ascii="MinionPro-Regular" w:hAnsi="MinionPro-Regular"/>
          <w:sz w:val="24"/>
          <w:szCs w:val="24"/>
          <w:lang w:val="es-ES_tradnl"/>
        </w:rPr>
        <w:t>.</w:t>
      </w:r>
      <w:r w:rsidR="004A7B55">
        <w:rPr>
          <w:rFonts w:ascii="MinionPro-Regular" w:hAnsi="MinionPro-Regular"/>
          <w:sz w:val="24"/>
          <w:szCs w:val="24"/>
          <w:lang w:val="es-ES_tradnl"/>
        </w:rPr>
        <w:t xml:space="preserve"> </w:t>
      </w:r>
      <w:r w:rsidRPr="00800C41">
        <w:rPr>
          <w:rFonts w:ascii="MinionPro-Regular" w:hAnsi="MinionPro-Regular"/>
          <w:sz w:val="24"/>
          <w:szCs w:val="24"/>
          <w:lang w:val="es-ES_tradnl"/>
        </w:rPr>
        <w:t>En todos estos casos, puede ser recomendable que</w:t>
      </w:r>
      <w:r w:rsidR="004A7B55">
        <w:rPr>
          <w:rFonts w:ascii="MinionPro-Regular" w:hAnsi="MinionPro-Regular"/>
          <w:sz w:val="24"/>
          <w:szCs w:val="24"/>
          <w:lang w:val="es-ES_tradnl"/>
        </w:rPr>
        <w:t xml:space="preserve"> </w:t>
      </w:r>
      <w:r w:rsidRPr="00800C41">
        <w:rPr>
          <w:rFonts w:ascii="MinionPro-Regular" w:hAnsi="MinionPro-Regular"/>
          <w:sz w:val="24"/>
          <w:szCs w:val="24"/>
          <w:lang w:val="es-ES_tradnl"/>
        </w:rPr>
        <w:t xml:space="preserve">los </w:t>
      </w:r>
      <w:r w:rsidR="004A7B55">
        <w:rPr>
          <w:sz w:val="24"/>
          <w:szCs w:val="24"/>
          <w:lang w:val="es-ES_tradnl"/>
        </w:rPr>
        <w:t>centros especiales de empleo</w:t>
      </w:r>
      <w:r w:rsidRPr="00800C41">
        <w:rPr>
          <w:rFonts w:ascii="MinionPro-Regular" w:hAnsi="MinionPro-Regular"/>
          <w:sz w:val="24"/>
          <w:szCs w:val="24"/>
          <w:lang w:val="es-ES_tradnl"/>
        </w:rPr>
        <w:t xml:space="preserve"> aúnen voluntades y colaboren en una o varias áreas de negocio, desde producción y oferta de servicios, hasta inversiones </w:t>
      </w:r>
      <w:r>
        <w:rPr>
          <w:rFonts w:ascii="MinionPro-Regular" w:hAnsi="MinionPro-Regular"/>
          <w:sz w:val="24"/>
          <w:szCs w:val="24"/>
          <w:lang w:val="es-ES_tradnl"/>
        </w:rPr>
        <w:t>en I +D</w:t>
      </w:r>
      <w:r w:rsidR="006F51AE">
        <w:rPr>
          <w:rFonts w:ascii="MinionPro-Regular" w:hAnsi="MinionPro-Regular"/>
          <w:sz w:val="24"/>
          <w:szCs w:val="24"/>
          <w:lang w:val="es-ES_tradnl"/>
        </w:rPr>
        <w:t>, tecnología</w:t>
      </w:r>
      <w:r>
        <w:rPr>
          <w:rFonts w:ascii="MinionPro-Regular" w:hAnsi="MinionPro-Regular"/>
          <w:sz w:val="24"/>
          <w:szCs w:val="24"/>
          <w:lang w:val="es-ES_tradnl"/>
        </w:rPr>
        <w:t xml:space="preserve"> o formación a empleados.</w:t>
      </w:r>
    </w:p>
    <w:p w:rsidR="00A414D2" w:rsidRPr="00800C41"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Este tipo de iniciativas de convergencia </w:t>
      </w:r>
      <w:r w:rsidRPr="00210FBF">
        <w:rPr>
          <w:rFonts w:ascii="MinionPro-Regular" w:hAnsi="MinionPro-Regular"/>
          <w:sz w:val="24"/>
          <w:szCs w:val="24"/>
          <w:lang w:val="es-ES_tradnl"/>
        </w:rPr>
        <w:t>empresarial</w:t>
      </w:r>
      <w:r>
        <w:rPr>
          <w:rFonts w:ascii="MinionPro-Regular" w:hAnsi="MinionPro-Regular"/>
          <w:sz w:val="24"/>
          <w:szCs w:val="24"/>
          <w:lang w:val="es-ES_tradnl"/>
        </w:rPr>
        <w:t xml:space="preserve"> ayudarían a </w:t>
      </w:r>
      <w:r w:rsidRPr="002A618B">
        <w:rPr>
          <w:rFonts w:ascii="MinionPro-Regular" w:hAnsi="MinionPro-Regular"/>
          <w:sz w:val="24"/>
          <w:szCs w:val="24"/>
          <w:lang w:val="es-ES_tradnl"/>
        </w:rPr>
        <w:t>solventar la atomización que caracteriza al sector</w:t>
      </w:r>
      <w:r>
        <w:rPr>
          <w:rFonts w:ascii="MinionPro-Regular" w:hAnsi="MinionPro-Regular"/>
          <w:sz w:val="24"/>
          <w:szCs w:val="24"/>
          <w:lang w:val="es-ES_tradnl"/>
        </w:rPr>
        <w:t xml:space="preserve"> y </w:t>
      </w:r>
      <w:r w:rsidRPr="00210FBF">
        <w:rPr>
          <w:rFonts w:ascii="MinionPro-Regular" w:hAnsi="MinionPro-Regular"/>
          <w:sz w:val="24"/>
          <w:szCs w:val="24"/>
          <w:lang w:val="es-ES_tradnl"/>
        </w:rPr>
        <w:t xml:space="preserve">permitirían </w:t>
      </w:r>
      <w:r>
        <w:rPr>
          <w:rFonts w:ascii="MinionPro-Regular" w:hAnsi="MinionPro-Regular"/>
          <w:sz w:val="24"/>
          <w:szCs w:val="24"/>
          <w:lang w:val="es-ES_tradnl"/>
        </w:rPr>
        <w:t xml:space="preserve">a los </w:t>
      </w:r>
      <w:r w:rsidR="008B273C">
        <w:rPr>
          <w:rFonts w:ascii="MinionPro-Regular" w:hAnsi="MinionPro-Regular"/>
          <w:sz w:val="24"/>
          <w:szCs w:val="24"/>
          <w:lang w:val="es-ES_tradnl"/>
        </w:rPr>
        <w:t>CEEs</w:t>
      </w:r>
      <w:r>
        <w:rPr>
          <w:rFonts w:ascii="MinionPro-Regular" w:hAnsi="MinionPro-Regular"/>
          <w:sz w:val="24"/>
          <w:szCs w:val="24"/>
          <w:lang w:val="es-ES_tradnl"/>
        </w:rPr>
        <w:t xml:space="preserve"> </w:t>
      </w:r>
      <w:r w:rsidRPr="00210FBF">
        <w:rPr>
          <w:rFonts w:ascii="MinionPro-Regular" w:hAnsi="MinionPro-Regular"/>
          <w:sz w:val="24"/>
          <w:szCs w:val="24"/>
          <w:lang w:val="es-ES_tradnl"/>
        </w:rPr>
        <w:t>ganar tamaño, dando lugar a economías de escala que a su vez</w:t>
      </w:r>
      <w:r>
        <w:rPr>
          <w:rFonts w:ascii="MinionPro-Regular" w:hAnsi="MinionPro-Regular"/>
          <w:sz w:val="24"/>
          <w:szCs w:val="24"/>
          <w:lang w:val="es-ES_tradnl"/>
        </w:rPr>
        <w:t xml:space="preserve"> podrían </w:t>
      </w:r>
      <w:r w:rsidR="004A7B55">
        <w:rPr>
          <w:rFonts w:ascii="MinionPro-Regular" w:hAnsi="MinionPro-Regular"/>
          <w:sz w:val="24"/>
          <w:szCs w:val="24"/>
          <w:lang w:val="es-ES_tradnl"/>
        </w:rPr>
        <w:t xml:space="preserve">generar recursos para acometer </w:t>
      </w:r>
      <w:r>
        <w:rPr>
          <w:rFonts w:ascii="MinionPro-Regular" w:hAnsi="MinionPro-Regular"/>
          <w:sz w:val="24"/>
          <w:szCs w:val="24"/>
          <w:lang w:val="es-ES_tradnl"/>
        </w:rPr>
        <w:t xml:space="preserve">actividades relacionadas con la investigación e innovación. Las alianzas contribuirían asimismo a liberar recursos para poder invertirlos en nuevas actividades o sectores. </w:t>
      </w:r>
      <w:r w:rsidR="004A7B55">
        <w:rPr>
          <w:rFonts w:ascii="MinionPro-Regular" w:hAnsi="MinionPro-Regular"/>
          <w:sz w:val="24"/>
          <w:szCs w:val="24"/>
          <w:lang w:val="es-ES_tradnl"/>
        </w:rPr>
        <w:t>De este modo</w:t>
      </w:r>
      <w:r w:rsidRPr="00800C41">
        <w:rPr>
          <w:rFonts w:ascii="MinionPro-Regular" w:hAnsi="MinionPro-Regular"/>
          <w:sz w:val="24"/>
          <w:szCs w:val="24"/>
          <w:lang w:val="es-ES_tradnl"/>
        </w:rPr>
        <w:t xml:space="preserve">, la creación de espacios </w:t>
      </w:r>
      <w:r w:rsidR="004A7B55">
        <w:rPr>
          <w:rFonts w:ascii="MinionPro-Regular" w:hAnsi="MinionPro-Regular"/>
          <w:sz w:val="24"/>
          <w:szCs w:val="24"/>
          <w:lang w:val="es-ES_tradnl"/>
        </w:rPr>
        <w:t>comunes podría</w:t>
      </w:r>
      <w:r w:rsidRPr="00800C41">
        <w:rPr>
          <w:rFonts w:ascii="MinionPro-Regular" w:hAnsi="MinionPro-Regular"/>
          <w:sz w:val="24"/>
          <w:szCs w:val="24"/>
          <w:lang w:val="es-ES_tradnl"/>
        </w:rPr>
        <w:t xml:space="preserve"> dar lugar a un proceso de </w:t>
      </w:r>
      <w:r w:rsidRPr="000D2655">
        <w:rPr>
          <w:rFonts w:ascii="MinionPro-Regular" w:hAnsi="MinionPro-Regular"/>
          <w:i/>
          <w:sz w:val="24"/>
          <w:szCs w:val="24"/>
          <w:lang w:val="es-ES_tradnl"/>
        </w:rPr>
        <w:t>feedback</w:t>
      </w:r>
      <w:r w:rsidRPr="00800C41">
        <w:rPr>
          <w:rFonts w:ascii="MinionPro-Regular" w:hAnsi="MinionPro-Regular"/>
          <w:sz w:val="24"/>
          <w:szCs w:val="24"/>
          <w:lang w:val="es-ES_tradnl"/>
        </w:rPr>
        <w:t xml:space="preserve"> muy positivo para el</w:t>
      </w:r>
      <w:r>
        <w:rPr>
          <w:rFonts w:ascii="MinionPro-Regular" w:hAnsi="MinionPro-Regular"/>
          <w:sz w:val="24"/>
          <w:szCs w:val="24"/>
          <w:lang w:val="es-ES_tradnl"/>
        </w:rPr>
        <w:t xml:space="preserve"> sector</w:t>
      </w:r>
      <w:r w:rsidR="006F51AE">
        <w:rPr>
          <w:rFonts w:ascii="MinionPro-Regular" w:hAnsi="MinionPro-Regular"/>
          <w:sz w:val="24"/>
          <w:szCs w:val="24"/>
          <w:lang w:val="es-ES_tradnl"/>
        </w:rPr>
        <w:t xml:space="preserve"> para</w:t>
      </w:r>
      <w:r>
        <w:rPr>
          <w:rFonts w:ascii="MinionPro-Regular" w:hAnsi="MinionPro-Regular"/>
          <w:sz w:val="24"/>
          <w:szCs w:val="24"/>
          <w:lang w:val="es-ES_tradnl"/>
        </w:rPr>
        <w:t xml:space="preserve"> </w:t>
      </w:r>
      <w:r w:rsidR="004A7B55">
        <w:rPr>
          <w:rFonts w:ascii="MinionPro-Regular" w:hAnsi="MinionPro-Regular"/>
          <w:sz w:val="24"/>
          <w:szCs w:val="24"/>
          <w:lang w:val="es-ES_tradnl"/>
        </w:rPr>
        <w:t>encontrar</w:t>
      </w:r>
      <w:r w:rsidRPr="00800C41">
        <w:rPr>
          <w:rFonts w:ascii="MinionPro-Regular" w:hAnsi="MinionPro-Regular"/>
          <w:sz w:val="24"/>
          <w:szCs w:val="24"/>
          <w:lang w:val="es-ES_tradnl"/>
        </w:rPr>
        <w:t xml:space="preserve"> sinergias que</w:t>
      </w:r>
      <w:r w:rsidR="006F51AE">
        <w:rPr>
          <w:rFonts w:ascii="MinionPro-Regular" w:hAnsi="MinionPro-Regular"/>
          <w:sz w:val="24"/>
          <w:szCs w:val="24"/>
          <w:lang w:val="es-ES_tradnl"/>
        </w:rPr>
        <w:t xml:space="preserve"> maximicen el impacto social, </w:t>
      </w:r>
      <w:r>
        <w:rPr>
          <w:rFonts w:ascii="MinionPro-Regular" w:hAnsi="MinionPro-Regular"/>
          <w:sz w:val="24"/>
          <w:szCs w:val="24"/>
          <w:lang w:val="es-ES_tradnl"/>
        </w:rPr>
        <w:t>impulse</w:t>
      </w:r>
      <w:r w:rsidRPr="00800C41">
        <w:rPr>
          <w:rFonts w:ascii="MinionPro-Regular" w:hAnsi="MinionPro-Regular"/>
          <w:sz w:val="24"/>
          <w:szCs w:val="24"/>
          <w:lang w:val="es-ES_tradnl"/>
        </w:rPr>
        <w:t xml:space="preserve">n la productividad y </w:t>
      </w:r>
      <w:r w:rsidR="004A7B55">
        <w:rPr>
          <w:rFonts w:ascii="MinionPro-Regular" w:hAnsi="MinionPro-Regular"/>
          <w:sz w:val="24"/>
          <w:szCs w:val="24"/>
          <w:lang w:val="es-ES_tradnl"/>
        </w:rPr>
        <w:t xml:space="preserve">aumenten </w:t>
      </w:r>
      <w:r w:rsidRPr="00800C41">
        <w:rPr>
          <w:rFonts w:ascii="MinionPro-Regular" w:hAnsi="MinionPro-Regular"/>
          <w:sz w:val="24"/>
          <w:szCs w:val="24"/>
          <w:lang w:val="es-ES_tradnl"/>
        </w:rPr>
        <w:t xml:space="preserve">las posibilidades de supervivencia de </w:t>
      </w:r>
      <w:r>
        <w:rPr>
          <w:rFonts w:ascii="MinionPro-Regular" w:hAnsi="MinionPro-Regular"/>
          <w:sz w:val="24"/>
          <w:szCs w:val="24"/>
          <w:lang w:val="es-ES_tradnl"/>
        </w:rPr>
        <w:t>los</w:t>
      </w:r>
      <w:r w:rsidRPr="00800C41">
        <w:rPr>
          <w:rFonts w:ascii="MinionPro-Regular" w:hAnsi="MinionPro-Regular"/>
          <w:sz w:val="24"/>
          <w:szCs w:val="24"/>
          <w:lang w:val="es-ES_tradnl"/>
        </w:rPr>
        <w:t xml:space="preserve"> más nuevos</w:t>
      </w:r>
      <w:r w:rsidR="006F51AE">
        <w:rPr>
          <w:rFonts w:ascii="MinionPro-Regular" w:hAnsi="MinionPro-Regular"/>
          <w:sz w:val="24"/>
          <w:szCs w:val="24"/>
          <w:lang w:val="es-ES_tradnl"/>
        </w:rPr>
        <w:t>, los más pequeños</w:t>
      </w:r>
      <w:r w:rsidRPr="00800C41">
        <w:rPr>
          <w:rFonts w:ascii="MinionPro-Regular" w:hAnsi="MinionPro-Regular"/>
          <w:sz w:val="24"/>
          <w:szCs w:val="24"/>
          <w:lang w:val="es-ES_tradnl"/>
        </w:rPr>
        <w:t xml:space="preserve"> o </w:t>
      </w:r>
      <w:r w:rsidR="004A7B55">
        <w:rPr>
          <w:rFonts w:ascii="MinionPro-Regular" w:hAnsi="MinionPro-Regular"/>
          <w:sz w:val="24"/>
          <w:szCs w:val="24"/>
          <w:lang w:val="es-ES_tradnl"/>
        </w:rPr>
        <w:t xml:space="preserve">los </w:t>
      </w:r>
      <w:r>
        <w:rPr>
          <w:rFonts w:ascii="MinionPro-Regular" w:hAnsi="MinionPro-Regular"/>
          <w:sz w:val="24"/>
          <w:szCs w:val="24"/>
          <w:lang w:val="es-ES_tradnl"/>
        </w:rPr>
        <w:t xml:space="preserve">más </w:t>
      </w:r>
      <w:r w:rsidRPr="00800C41">
        <w:rPr>
          <w:rFonts w:ascii="MinionPro-Regular" w:hAnsi="MinionPro-Regular"/>
          <w:sz w:val="24"/>
          <w:szCs w:val="24"/>
          <w:lang w:val="es-ES_tradnl"/>
        </w:rPr>
        <w:t xml:space="preserve">frágiles. </w:t>
      </w:r>
    </w:p>
    <w:p w:rsidR="00A414D2" w:rsidRPr="00800C41" w:rsidRDefault="00A414D2" w:rsidP="00A414D2">
      <w:pPr>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Las alianzas podrían adoptar distintas modalidades; algunas sencillas, como los servicios compartidos o las ofertas comerciales conjuntas; y otras, más complejas, como la constitución de grupos empresariales o las fusiones entre centros. </w:t>
      </w:r>
    </w:p>
    <w:p w:rsidR="00A414D2" w:rsidRPr="00A414D2" w:rsidRDefault="00E323F1" w:rsidP="00A414D2">
      <w:pPr>
        <w:pStyle w:val="Ttulo2"/>
        <w:rPr>
          <w:lang w:val="es-ES_tradnl"/>
        </w:rPr>
      </w:pPr>
      <w:bookmarkStart w:id="310" w:name="_Toc410916897"/>
      <w:r>
        <w:rPr>
          <w:lang w:val="es-ES_tradnl"/>
        </w:rPr>
        <w:t>Un</w:t>
      </w:r>
      <w:r w:rsidR="00A414D2" w:rsidRPr="00A414D2">
        <w:rPr>
          <w:lang w:val="es-ES_tradnl"/>
        </w:rPr>
        <w:t xml:space="preserve"> enfoque más comercial y </w:t>
      </w:r>
      <w:r>
        <w:rPr>
          <w:lang w:val="es-ES_tradnl"/>
        </w:rPr>
        <w:t>orientado al</w:t>
      </w:r>
      <w:r w:rsidR="00A414D2" w:rsidRPr="00A414D2">
        <w:rPr>
          <w:lang w:val="es-ES_tradnl"/>
        </w:rPr>
        <w:t xml:space="preserve"> mercado</w:t>
      </w:r>
      <w:bookmarkEnd w:id="310"/>
      <w:r w:rsidR="00A414D2" w:rsidRPr="00A414D2">
        <w:rPr>
          <w:lang w:val="es-ES_tradnl"/>
        </w:rPr>
        <w:t xml:space="preserve"> </w:t>
      </w:r>
    </w:p>
    <w:p w:rsidR="00A414D2" w:rsidRPr="00A414D2" w:rsidRDefault="00A414D2" w:rsidP="00A414D2">
      <w:pPr>
        <w:spacing w:line="360" w:lineRule="auto"/>
        <w:jc w:val="both"/>
        <w:rPr>
          <w:rFonts w:ascii="MinionPro-Regular" w:hAnsi="MinionPro-Regular"/>
          <w:b/>
          <w:sz w:val="24"/>
          <w:szCs w:val="24"/>
          <w:lang w:val="es-ES_tradnl"/>
        </w:rPr>
      </w:pPr>
    </w:p>
    <w:p w:rsidR="006F51AE" w:rsidRDefault="00A414D2" w:rsidP="00A414D2">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Otro ámbito de mejora para los centros</w:t>
      </w:r>
      <w:r w:rsidR="00E323F1">
        <w:rPr>
          <w:rFonts w:ascii="MinionPro-Regular" w:hAnsi="MinionPro-Regular"/>
          <w:sz w:val="24"/>
          <w:szCs w:val="24"/>
          <w:lang w:val="es-ES_tradnl"/>
        </w:rPr>
        <w:t xml:space="preserve"> </w:t>
      </w:r>
      <w:r w:rsidRPr="008A79C3">
        <w:rPr>
          <w:rFonts w:ascii="MinionPro-Regular" w:hAnsi="MinionPro-Regular"/>
          <w:sz w:val="24"/>
          <w:szCs w:val="24"/>
          <w:lang w:val="es-ES_tradnl"/>
        </w:rPr>
        <w:t xml:space="preserve">tiene que ver con </w:t>
      </w:r>
      <w:r w:rsidR="00E323F1">
        <w:rPr>
          <w:rFonts w:ascii="MinionPro-Regular" w:hAnsi="MinionPro-Regular"/>
          <w:sz w:val="24"/>
          <w:szCs w:val="24"/>
          <w:lang w:val="es-ES_tradnl"/>
        </w:rPr>
        <w:t xml:space="preserve">adoptar un enfoque más </w:t>
      </w:r>
      <w:r w:rsidR="006F51AE">
        <w:rPr>
          <w:rFonts w:ascii="MinionPro-Regular" w:hAnsi="MinionPro-Regular"/>
          <w:sz w:val="24"/>
          <w:szCs w:val="24"/>
          <w:lang w:val="es-ES_tradnl"/>
        </w:rPr>
        <w:t>orientado</w:t>
      </w:r>
      <w:r w:rsidR="002E0310">
        <w:rPr>
          <w:rFonts w:ascii="MinionPro-Regular" w:hAnsi="MinionPro-Regular"/>
          <w:sz w:val="24"/>
          <w:szCs w:val="24"/>
          <w:lang w:val="es-ES_tradnl"/>
        </w:rPr>
        <w:t xml:space="preserve"> al mercado</w:t>
      </w:r>
      <w:r w:rsidR="00E323F1">
        <w:rPr>
          <w:rFonts w:ascii="MinionPro-Regular" w:hAnsi="MinionPro-Regular"/>
          <w:sz w:val="24"/>
          <w:szCs w:val="24"/>
          <w:lang w:val="es-ES_tradnl"/>
        </w:rPr>
        <w:t xml:space="preserve">. </w:t>
      </w:r>
      <w:r w:rsidR="006F51AE">
        <w:rPr>
          <w:rFonts w:ascii="MinionPro-Regular" w:hAnsi="MinionPro-Regular"/>
          <w:sz w:val="24"/>
          <w:szCs w:val="24"/>
          <w:lang w:val="es-ES_tradnl"/>
        </w:rPr>
        <w:t>Esto tiene que ver con que, e</w:t>
      </w:r>
      <w:r w:rsidRPr="008A79C3">
        <w:rPr>
          <w:rFonts w:ascii="MinionPro-Regular" w:hAnsi="MinionPro-Regular"/>
          <w:sz w:val="24"/>
          <w:szCs w:val="24"/>
          <w:lang w:val="es-ES_tradnl"/>
        </w:rPr>
        <w:t xml:space="preserve">n la actualidad, no todos los centros cuentan </w:t>
      </w:r>
      <w:r w:rsidR="00E323F1">
        <w:rPr>
          <w:rFonts w:ascii="MinionPro-Regular" w:hAnsi="MinionPro-Regular"/>
          <w:sz w:val="24"/>
          <w:szCs w:val="24"/>
          <w:lang w:val="es-ES_tradnl"/>
        </w:rPr>
        <w:t>los perfiles necesario</w:t>
      </w:r>
      <w:r w:rsidR="006F51AE">
        <w:rPr>
          <w:rFonts w:ascii="MinionPro-Regular" w:hAnsi="MinionPro-Regular"/>
          <w:sz w:val="24"/>
          <w:szCs w:val="24"/>
          <w:lang w:val="es-ES_tradnl"/>
        </w:rPr>
        <w:t>s</w:t>
      </w:r>
      <w:r w:rsidR="00E323F1">
        <w:rPr>
          <w:rFonts w:ascii="MinionPro-Regular" w:hAnsi="MinionPro-Regular"/>
          <w:sz w:val="24"/>
          <w:szCs w:val="24"/>
          <w:lang w:val="es-ES_tradnl"/>
        </w:rPr>
        <w:t xml:space="preserve"> para competir en las mejores condiciones</w:t>
      </w:r>
      <w:r w:rsidRPr="008A79C3">
        <w:rPr>
          <w:rFonts w:ascii="MinionPro-Regular" w:hAnsi="MinionPro-Regular"/>
          <w:sz w:val="24"/>
          <w:szCs w:val="24"/>
          <w:lang w:val="es-ES_tradnl"/>
        </w:rPr>
        <w:t xml:space="preserve">. </w:t>
      </w:r>
      <w:r w:rsidR="00E323F1">
        <w:rPr>
          <w:rFonts w:ascii="MinionPro-Regular" w:hAnsi="MinionPro-Regular"/>
          <w:sz w:val="24"/>
          <w:szCs w:val="24"/>
          <w:lang w:val="es-ES_tradnl"/>
        </w:rPr>
        <w:t xml:space="preserve">La falta de foco comercial </w:t>
      </w:r>
      <w:r w:rsidRPr="008A79C3">
        <w:rPr>
          <w:rFonts w:ascii="MinionPro-Regular" w:hAnsi="MinionPro-Regular"/>
          <w:sz w:val="24"/>
          <w:szCs w:val="24"/>
          <w:lang w:val="es-ES_tradnl"/>
        </w:rPr>
        <w:t xml:space="preserve">hace que los </w:t>
      </w:r>
      <w:r w:rsidR="008B273C">
        <w:rPr>
          <w:rFonts w:ascii="MinionPro-Regular" w:hAnsi="MinionPro-Regular"/>
          <w:sz w:val="24"/>
          <w:szCs w:val="24"/>
          <w:lang w:val="es-ES_tradnl"/>
        </w:rPr>
        <w:t>CEEs</w:t>
      </w:r>
      <w:r w:rsidRPr="008A79C3">
        <w:rPr>
          <w:rFonts w:ascii="MinionPro-Regular" w:hAnsi="MinionPro-Regular"/>
          <w:sz w:val="24"/>
          <w:szCs w:val="24"/>
          <w:lang w:val="es-ES_tradnl"/>
        </w:rPr>
        <w:t>, aun aportando un importante valor al mercado, no siempre consigan comunicar</w:t>
      </w:r>
      <w:r>
        <w:rPr>
          <w:rFonts w:ascii="MinionPro-Regular" w:hAnsi="MinionPro-Regular"/>
          <w:sz w:val="24"/>
          <w:szCs w:val="24"/>
          <w:lang w:val="es-ES_tradnl"/>
        </w:rPr>
        <w:t xml:space="preserve">lo de manera efectiva, </w:t>
      </w:r>
      <w:r w:rsidR="00E323F1">
        <w:rPr>
          <w:rFonts w:ascii="MinionPro-Regular" w:hAnsi="MinionPro-Regular"/>
          <w:sz w:val="24"/>
          <w:szCs w:val="24"/>
          <w:lang w:val="es-ES_tradnl"/>
        </w:rPr>
        <w:t>lo que les lleva a perder oportunidades</w:t>
      </w:r>
      <w:r>
        <w:rPr>
          <w:rFonts w:ascii="MinionPro-Regular" w:hAnsi="MinionPro-Regular"/>
          <w:sz w:val="24"/>
          <w:szCs w:val="24"/>
          <w:lang w:val="es-ES_tradnl"/>
        </w:rPr>
        <w:t xml:space="preserve">. </w:t>
      </w:r>
    </w:p>
    <w:p w:rsidR="006F51AE" w:rsidRDefault="006F51AE" w:rsidP="00A414D2">
      <w:pPr>
        <w:spacing w:line="360" w:lineRule="auto"/>
        <w:jc w:val="both"/>
        <w:rPr>
          <w:rFonts w:ascii="MinionPro-Regular" w:hAnsi="MinionPro-Regular"/>
          <w:sz w:val="24"/>
          <w:szCs w:val="24"/>
          <w:lang w:val="es-ES_tradnl"/>
        </w:rPr>
      </w:pPr>
    </w:p>
    <w:p w:rsidR="00A414D2" w:rsidRDefault="00E323F1" w:rsidP="00A414D2">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Pero el foco comercial no se refiere solamente a los perfiles disponibles en las plantillas de los centros. También tiene que ver con ser conscientes de que solo la sostenibilidad económica garantiza la continuidad del impacto social positivo.  El sector necesita </w:t>
      </w:r>
      <w:r w:rsidR="00A414D2" w:rsidRPr="008A79C3">
        <w:rPr>
          <w:rFonts w:ascii="MinionPro-Regular" w:hAnsi="MinionPro-Regular"/>
          <w:sz w:val="24"/>
          <w:szCs w:val="24"/>
          <w:lang w:val="es-ES_tradnl"/>
        </w:rPr>
        <w:t xml:space="preserve">un cambio de enfoque y de estrategia </w:t>
      </w:r>
      <w:r>
        <w:rPr>
          <w:rFonts w:ascii="MinionPro-Regular" w:hAnsi="MinionPro-Regular"/>
          <w:sz w:val="24"/>
          <w:szCs w:val="24"/>
          <w:lang w:val="es-ES_tradnl"/>
        </w:rPr>
        <w:t>en esta materia</w:t>
      </w:r>
      <w:r w:rsidR="00A414D2" w:rsidRPr="008A79C3">
        <w:rPr>
          <w:rFonts w:ascii="MinionPro-Regular" w:hAnsi="MinionPro-Regular"/>
          <w:sz w:val="24"/>
          <w:szCs w:val="24"/>
          <w:lang w:val="es-ES_tradnl"/>
        </w:rPr>
        <w:t xml:space="preserve">. Esta labor se hace especialmente importante </w:t>
      </w:r>
      <w:r w:rsidR="00A414D2">
        <w:rPr>
          <w:rFonts w:ascii="MinionPro-Regular" w:hAnsi="MinionPro-Regular"/>
          <w:sz w:val="24"/>
          <w:szCs w:val="24"/>
          <w:lang w:val="es-ES_tradnl"/>
        </w:rPr>
        <w:t xml:space="preserve">si se pretende que </w:t>
      </w:r>
      <w:r w:rsidR="00A414D2" w:rsidRPr="008A79C3">
        <w:rPr>
          <w:rFonts w:ascii="MinionPro-Regular" w:hAnsi="MinionPro-Regular"/>
          <w:sz w:val="24"/>
          <w:szCs w:val="24"/>
          <w:lang w:val="es-ES_tradnl"/>
        </w:rPr>
        <w:t xml:space="preserve">la sociedad </w:t>
      </w:r>
      <w:r>
        <w:rPr>
          <w:rFonts w:ascii="MinionPro-Regular" w:hAnsi="MinionPro-Regular"/>
          <w:sz w:val="24"/>
          <w:szCs w:val="24"/>
          <w:lang w:val="es-ES_tradnl"/>
        </w:rPr>
        <w:t>en su conjunto conozca mejor</w:t>
      </w:r>
      <w:r w:rsidR="00A414D2" w:rsidRPr="008A79C3">
        <w:rPr>
          <w:rFonts w:ascii="MinionPro-Regular" w:hAnsi="MinionPro-Regular"/>
          <w:sz w:val="24"/>
          <w:szCs w:val="24"/>
          <w:lang w:val="es-ES_tradnl"/>
        </w:rPr>
        <w:t xml:space="preserve"> lo que hace diferenciales a los centros especiales de empleo y </w:t>
      </w:r>
      <w:r>
        <w:rPr>
          <w:rFonts w:ascii="MinionPro-Regular" w:hAnsi="MinionPro-Regular"/>
          <w:sz w:val="24"/>
          <w:szCs w:val="24"/>
          <w:lang w:val="es-ES_tradnl"/>
        </w:rPr>
        <w:t>el</w:t>
      </w:r>
      <w:r w:rsidR="00A414D2" w:rsidRPr="008A79C3">
        <w:rPr>
          <w:rFonts w:ascii="MinionPro-Regular" w:hAnsi="MinionPro-Regular"/>
          <w:sz w:val="24"/>
          <w:szCs w:val="24"/>
          <w:lang w:val="es-ES_tradnl"/>
        </w:rPr>
        <w:t xml:space="preserve"> valor añadido </w:t>
      </w:r>
      <w:r>
        <w:rPr>
          <w:rFonts w:ascii="MinionPro-Regular" w:hAnsi="MinionPro-Regular"/>
          <w:sz w:val="24"/>
          <w:szCs w:val="24"/>
          <w:lang w:val="es-ES_tradnl"/>
        </w:rPr>
        <w:t xml:space="preserve">social </w:t>
      </w:r>
      <w:r w:rsidR="00A414D2" w:rsidRPr="008A79C3">
        <w:rPr>
          <w:rFonts w:ascii="MinionPro-Regular" w:hAnsi="MinionPro-Regular"/>
          <w:sz w:val="24"/>
          <w:szCs w:val="24"/>
          <w:lang w:val="es-ES_tradnl"/>
        </w:rPr>
        <w:t>que generan, y</w:t>
      </w:r>
      <w:r w:rsidR="00A414D2">
        <w:rPr>
          <w:rFonts w:ascii="MinionPro-Regular" w:hAnsi="MinionPro-Regular"/>
          <w:sz w:val="24"/>
          <w:szCs w:val="24"/>
          <w:lang w:val="es-ES_tradnl"/>
        </w:rPr>
        <w:t xml:space="preserve"> </w:t>
      </w:r>
      <w:r>
        <w:rPr>
          <w:rFonts w:ascii="MinionPro-Regular" w:hAnsi="MinionPro-Regular"/>
          <w:sz w:val="24"/>
          <w:szCs w:val="24"/>
          <w:lang w:val="es-ES_tradnl"/>
        </w:rPr>
        <w:t>para evitar el recelo de otros actores en el mercado</w:t>
      </w:r>
      <w:r w:rsidR="00A414D2" w:rsidRPr="008A79C3">
        <w:rPr>
          <w:rFonts w:ascii="MinionPro-Regular" w:hAnsi="MinionPro-Regular"/>
          <w:sz w:val="24"/>
          <w:szCs w:val="24"/>
          <w:lang w:val="es-ES_tradnl"/>
        </w:rPr>
        <w:t>.</w:t>
      </w:r>
    </w:p>
    <w:p w:rsidR="00A414D2" w:rsidRDefault="00A414D2" w:rsidP="00A414D2">
      <w:pPr>
        <w:spacing w:line="360" w:lineRule="auto"/>
        <w:jc w:val="both"/>
        <w:rPr>
          <w:rFonts w:ascii="MinionPro-Regular" w:hAnsi="MinionPro-Regular"/>
          <w:sz w:val="24"/>
          <w:szCs w:val="24"/>
          <w:lang w:val="es-ES_tradnl"/>
        </w:rPr>
      </w:pPr>
    </w:p>
    <w:p w:rsidR="00A414D2" w:rsidRDefault="00A414D2" w:rsidP="00A414D2">
      <w:pPr>
        <w:spacing w:line="360" w:lineRule="auto"/>
        <w:jc w:val="both"/>
        <w:rPr>
          <w:rFonts w:ascii="MinionPro-Regular" w:hAnsi="MinionPro-Regular"/>
          <w:sz w:val="24"/>
          <w:szCs w:val="24"/>
          <w:lang w:val="es-ES_tradnl"/>
        </w:rPr>
      </w:pPr>
      <w:r w:rsidRPr="002A618B">
        <w:rPr>
          <w:rFonts w:ascii="MinionPro-Regular" w:hAnsi="MinionPro-Regular"/>
          <w:sz w:val="24"/>
          <w:szCs w:val="24"/>
          <w:lang w:val="es-ES_tradnl"/>
        </w:rPr>
        <w:t>Para ahondar en esta labor, y en línea con la recomendación anterior, se deberían buscar oportunidades de colaboración entre los centros a través de la creación de grupos de mejora</w:t>
      </w:r>
      <w:r w:rsidR="00E323F1">
        <w:rPr>
          <w:rFonts w:ascii="MinionPro-Regular" w:hAnsi="MinionPro-Regular"/>
          <w:sz w:val="24"/>
          <w:szCs w:val="24"/>
          <w:lang w:val="es-ES_tradnl"/>
        </w:rPr>
        <w:t xml:space="preserve"> en esta materia</w:t>
      </w:r>
      <w:r w:rsidRPr="002A618B">
        <w:rPr>
          <w:rFonts w:ascii="MinionPro-Regular" w:hAnsi="MinionPro-Regular"/>
          <w:sz w:val="24"/>
          <w:szCs w:val="24"/>
          <w:lang w:val="es-ES_tradnl"/>
        </w:rPr>
        <w:t xml:space="preserve">. Éstos podrían ser impulsados por plataformas sectoriales ya establecidas. </w:t>
      </w:r>
      <w:r>
        <w:rPr>
          <w:rFonts w:ascii="MinionPro-Regular" w:hAnsi="MinionPro-Regular"/>
          <w:sz w:val="24"/>
          <w:szCs w:val="24"/>
          <w:lang w:val="es-ES_tradnl"/>
        </w:rPr>
        <w:t>El apoyo de este tipo de plataformas ayudaría a que los centros se sintiesen</w:t>
      </w:r>
      <w:r w:rsidRPr="002A618B">
        <w:rPr>
          <w:rFonts w:ascii="MinionPro-Regular" w:hAnsi="MinionPro-Regular"/>
          <w:sz w:val="24"/>
          <w:szCs w:val="24"/>
          <w:lang w:val="es-ES_tradnl"/>
        </w:rPr>
        <w:t xml:space="preserve"> arropados en este cambio de enfoque </w:t>
      </w:r>
      <w:r>
        <w:rPr>
          <w:rFonts w:ascii="MinionPro-Regular" w:hAnsi="MinionPro-Regular"/>
          <w:sz w:val="24"/>
          <w:szCs w:val="24"/>
          <w:lang w:val="es-ES_tradnl"/>
        </w:rPr>
        <w:t xml:space="preserve">y a que las colaboraciones en términos </w:t>
      </w:r>
      <w:r w:rsidR="00E323F1">
        <w:rPr>
          <w:rFonts w:ascii="MinionPro-Regular" w:hAnsi="MinionPro-Regular"/>
          <w:sz w:val="24"/>
          <w:szCs w:val="24"/>
          <w:lang w:val="es-ES_tradnl"/>
        </w:rPr>
        <w:t>aproximación comercial</w:t>
      </w:r>
      <w:r w:rsidRPr="002A618B">
        <w:rPr>
          <w:rFonts w:ascii="MinionPro-Regular" w:hAnsi="MinionPro-Regular"/>
          <w:sz w:val="24"/>
          <w:szCs w:val="24"/>
          <w:lang w:val="es-ES_tradnl"/>
        </w:rPr>
        <w:t xml:space="preserve"> </w:t>
      </w:r>
      <w:r>
        <w:rPr>
          <w:rFonts w:ascii="MinionPro-Regular" w:hAnsi="MinionPro-Regular"/>
          <w:sz w:val="24"/>
          <w:szCs w:val="24"/>
          <w:lang w:val="es-ES_tradnl"/>
        </w:rPr>
        <w:t>f</w:t>
      </w:r>
      <w:r w:rsidR="00381D6A">
        <w:rPr>
          <w:rFonts w:ascii="MinionPro-Regular" w:hAnsi="MinionPro-Regular"/>
          <w:sz w:val="24"/>
          <w:szCs w:val="24"/>
          <w:lang w:val="es-ES_tradnl"/>
        </w:rPr>
        <w:t>uesen sostenibles en el tiempo.</w:t>
      </w:r>
    </w:p>
    <w:p w:rsidR="00A414D2" w:rsidRPr="00A414D2" w:rsidRDefault="00B3663B" w:rsidP="00A414D2">
      <w:pPr>
        <w:pStyle w:val="Ttulo2"/>
        <w:rPr>
          <w:sz w:val="22"/>
        </w:rPr>
      </w:pPr>
      <w:bookmarkStart w:id="311" w:name="_Toc410916898"/>
      <w:r>
        <w:rPr>
          <w:lang w:val="es-ES_tradnl"/>
        </w:rPr>
        <w:t>Incorporar</w:t>
      </w:r>
      <w:r w:rsidR="00A414D2" w:rsidRPr="00A414D2">
        <w:rPr>
          <w:lang w:val="es-ES_tradnl"/>
        </w:rPr>
        <w:t xml:space="preserve"> tecnología para mejorar </w:t>
      </w:r>
      <w:r w:rsidR="00E323F1">
        <w:rPr>
          <w:lang w:val="es-ES_tradnl"/>
        </w:rPr>
        <w:t xml:space="preserve">las </w:t>
      </w:r>
      <w:r w:rsidR="00A414D2" w:rsidRPr="00A414D2">
        <w:rPr>
          <w:lang w:val="es-ES_tradnl"/>
        </w:rPr>
        <w:t>competencias y empleabilidad de las personas</w:t>
      </w:r>
      <w:bookmarkEnd w:id="311"/>
      <w:r w:rsidR="00A414D2" w:rsidRPr="00A414D2">
        <w:rPr>
          <w:lang w:val="es-ES_tradnl"/>
        </w:rPr>
        <w:t xml:space="preserve"> </w:t>
      </w:r>
    </w:p>
    <w:p w:rsidR="00A414D2" w:rsidRPr="00A414D2" w:rsidRDefault="00A414D2" w:rsidP="00A414D2">
      <w:pPr>
        <w:spacing w:line="360" w:lineRule="auto"/>
        <w:jc w:val="both"/>
        <w:rPr>
          <w:b/>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Una medida que favorecería no sólo la</w:t>
      </w:r>
      <w:r w:rsidRPr="006C4FB9">
        <w:rPr>
          <w:rFonts w:ascii="MinionPro-Regular" w:hAnsi="MinionPro-Regular"/>
          <w:sz w:val="24"/>
          <w:szCs w:val="24"/>
          <w:lang w:val="es-ES_tradnl"/>
        </w:rPr>
        <w:t xml:space="preserve"> transformación </w:t>
      </w:r>
      <w:r>
        <w:rPr>
          <w:rFonts w:ascii="MinionPro-Regular" w:hAnsi="MinionPro-Regular"/>
          <w:sz w:val="24"/>
          <w:szCs w:val="24"/>
          <w:lang w:val="es-ES_tradnl"/>
        </w:rPr>
        <w:t xml:space="preserve">de los centros </w:t>
      </w:r>
      <w:r w:rsidRPr="006C4FB9">
        <w:rPr>
          <w:rFonts w:ascii="MinionPro-Regular" w:hAnsi="MinionPro-Regular"/>
          <w:sz w:val="24"/>
          <w:szCs w:val="24"/>
          <w:lang w:val="es-ES_tradnl"/>
        </w:rPr>
        <w:t>hacia modelos más eficientes</w:t>
      </w:r>
      <w:r>
        <w:rPr>
          <w:rFonts w:ascii="MinionPro-Regular" w:hAnsi="MinionPro-Regular"/>
          <w:sz w:val="24"/>
          <w:szCs w:val="24"/>
          <w:lang w:val="es-ES_tradnl"/>
        </w:rPr>
        <w:t xml:space="preserve"> sino también la empleabilidad de </w:t>
      </w:r>
      <w:r w:rsidR="00E323F1">
        <w:rPr>
          <w:rFonts w:ascii="MinionPro-Regular" w:hAnsi="MinionPro-Regular"/>
          <w:sz w:val="24"/>
          <w:szCs w:val="24"/>
          <w:lang w:val="es-ES_tradnl"/>
        </w:rPr>
        <w:t>sus empleados</w:t>
      </w:r>
      <w:r w:rsidRPr="006C4FB9">
        <w:rPr>
          <w:rFonts w:ascii="MinionPro-Regular" w:hAnsi="MinionPro-Regular"/>
          <w:sz w:val="24"/>
          <w:szCs w:val="24"/>
          <w:lang w:val="es-ES_tradnl"/>
        </w:rPr>
        <w:t xml:space="preserve"> es</w:t>
      </w:r>
      <w:r>
        <w:rPr>
          <w:rFonts w:ascii="MinionPro-Regular" w:hAnsi="MinionPro-Regular"/>
          <w:sz w:val="24"/>
          <w:szCs w:val="24"/>
          <w:lang w:val="es-ES_tradnl"/>
        </w:rPr>
        <w:t xml:space="preserve"> </w:t>
      </w:r>
      <w:r w:rsidRPr="006C4FB9">
        <w:rPr>
          <w:rFonts w:ascii="MinionPro-Regular" w:hAnsi="MinionPro-Regular"/>
          <w:sz w:val="24"/>
          <w:szCs w:val="24"/>
          <w:lang w:val="es-ES_tradnl"/>
        </w:rPr>
        <w:t xml:space="preserve">la renovación y </w:t>
      </w:r>
      <w:r w:rsidR="00E323F1">
        <w:rPr>
          <w:rFonts w:ascii="MinionPro-Regular" w:hAnsi="MinionPro-Regular"/>
          <w:sz w:val="24"/>
          <w:szCs w:val="24"/>
          <w:lang w:val="es-ES_tradnl"/>
        </w:rPr>
        <w:t>apuesta</w:t>
      </w:r>
      <w:r w:rsidRPr="006C4FB9">
        <w:rPr>
          <w:rFonts w:ascii="MinionPro-Regular" w:hAnsi="MinionPro-Regular"/>
          <w:sz w:val="24"/>
          <w:szCs w:val="24"/>
          <w:lang w:val="es-ES_tradnl"/>
        </w:rPr>
        <w:t xml:space="preserve"> tecnológica</w:t>
      </w:r>
      <w:r>
        <w:rPr>
          <w:rFonts w:ascii="MinionPro-Regular" w:hAnsi="MinionPro-Regular"/>
          <w:sz w:val="24"/>
          <w:szCs w:val="24"/>
          <w:lang w:val="es-ES_tradnl"/>
        </w:rPr>
        <w:t>.</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Por un lado, los </w:t>
      </w:r>
      <w:r w:rsidR="008B273C">
        <w:rPr>
          <w:rFonts w:ascii="MinionPro-Regular" w:hAnsi="MinionPro-Regular"/>
          <w:sz w:val="24"/>
          <w:szCs w:val="24"/>
          <w:lang w:val="es-ES_tradnl"/>
        </w:rPr>
        <w:t>CEEs</w:t>
      </w:r>
      <w:r>
        <w:rPr>
          <w:rFonts w:ascii="MinionPro-Regular" w:hAnsi="MinionPro-Regular"/>
          <w:sz w:val="24"/>
          <w:szCs w:val="24"/>
          <w:lang w:val="es-ES_tradnl"/>
        </w:rPr>
        <w:t xml:space="preserve"> de Castilla y León podrían hacer un mejor uso de </w:t>
      </w:r>
      <w:r w:rsidR="00ED0218">
        <w:rPr>
          <w:rFonts w:ascii="MinionPro-Regular" w:hAnsi="MinionPro-Regular"/>
          <w:sz w:val="24"/>
          <w:szCs w:val="24"/>
          <w:lang w:val="es-ES_tradnl"/>
        </w:rPr>
        <w:t>las nuevas tecnologías</w:t>
      </w:r>
      <w:r>
        <w:rPr>
          <w:rFonts w:ascii="MinionPro-Regular" w:hAnsi="MinionPro-Regular"/>
          <w:sz w:val="24"/>
          <w:szCs w:val="24"/>
          <w:lang w:val="es-ES_tradnl"/>
        </w:rPr>
        <w:t xml:space="preserve"> para </w:t>
      </w:r>
      <w:r w:rsidR="006F51AE">
        <w:rPr>
          <w:rFonts w:ascii="MinionPro-Regular" w:hAnsi="MinionPro-Regular"/>
          <w:sz w:val="24"/>
          <w:szCs w:val="24"/>
          <w:lang w:val="es-ES_tradnl"/>
        </w:rPr>
        <w:t>sofisticar</w:t>
      </w:r>
      <w:r>
        <w:rPr>
          <w:rFonts w:ascii="MinionPro-Regular" w:hAnsi="MinionPro-Regular"/>
          <w:sz w:val="24"/>
          <w:szCs w:val="24"/>
          <w:lang w:val="es-ES_tradnl"/>
        </w:rPr>
        <w:t xml:space="preserve"> los modelos de negocio que todavía prevalecen en el sector. Integrar </w:t>
      </w:r>
      <w:r w:rsidR="006F51AE">
        <w:rPr>
          <w:rFonts w:ascii="MinionPro-Regular" w:hAnsi="MinionPro-Regular"/>
          <w:sz w:val="24"/>
          <w:szCs w:val="24"/>
          <w:lang w:val="es-ES_tradnl"/>
        </w:rPr>
        <w:t xml:space="preserve">en mayor medida </w:t>
      </w:r>
      <w:r>
        <w:rPr>
          <w:rFonts w:ascii="MinionPro-Regular" w:hAnsi="MinionPro-Regular"/>
          <w:sz w:val="24"/>
          <w:szCs w:val="24"/>
          <w:lang w:val="es-ES_tradnl"/>
        </w:rPr>
        <w:t>la tecnología en los procesos de los centros, desde los de producción y distribución hasta los puntos de atención al cliente y los procesos de organización interna, ayudaría a impulsar una transformación hacia un modelo más moderno, innovador y eficiente</w:t>
      </w:r>
      <w:r w:rsidR="00ED0218">
        <w:rPr>
          <w:rFonts w:ascii="MinionPro-Regular" w:hAnsi="MinionPro-Regular"/>
          <w:sz w:val="24"/>
          <w:szCs w:val="24"/>
          <w:lang w:val="es-ES_tradnl"/>
        </w:rPr>
        <w:t xml:space="preserve"> y más generador de oportunidades</w:t>
      </w:r>
      <w:r>
        <w:rPr>
          <w:rFonts w:ascii="MinionPro-Regular" w:hAnsi="MinionPro-Regular"/>
          <w:sz w:val="24"/>
          <w:szCs w:val="24"/>
          <w:lang w:val="es-ES_tradnl"/>
        </w:rPr>
        <w:t xml:space="preserve">. </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ED0218"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Una mayor intensidad tecnológica </w:t>
      </w:r>
      <w:r w:rsidR="00A414D2">
        <w:rPr>
          <w:rFonts w:ascii="MinionPro-Regular" w:hAnsi="MinionPro-Regular"/>
          <w:sz w:val="24"/>
          <w:szCs w:val="24"/>
          <w:lang w:val="es-ES_tradnl"/>
        </w:rPr>
        <w:t>tendría el potencial de mejorar significativamente la empleabilidad de las personas con discapacidad. La adaptación de los puestos de trabajo a través de la tecnología permitiría potenciar la capacidad de las personas con discapacidad de desarrollar trabajos</w:t>
      </w:r>
      <w:r w:rsidR="00E323F1">
        <w:rPr>
          <w:rFonts w:ascii="MinionPro-Regular" w:hAnsi="MinionPro-Regular"/>
          <w:sz w:val="24"/>
          <w:szCs w:val="24"/>
          <w:lang w:val="es-ES_tradnl"/>
        </w:rPr>
        <w:t xml:space="preserve"> que hoy no desarrollan, propiciando el cumplimiento de los </w:t>
      </w:r>
      <w:r w:rsidR="00E323F1">
        <w:rPr>
          <w:sz w:val="24"/>
          <w:szCs w:val="24"/>
          <w:lang w:val="es-ES_tradnl"/>
        </w:rPr>
        <w:t>centros especiale</w:t>
      </w:r>
      <w:r w:rsidR="00FF238C">
        <w:rPr>
          <w:sz w:val="24"/>
          <w:szCs w:val="24"/>
          <w:lang w:val="es-ES_tradnl"/>
        </w:rPr>
        <w:t>s de empleo de su objetivo</w:t>
      </w:r>
      <w:r w:rsidR="00E323F1">
        <w:rPr>
          <w:sz w:val="24"/>
          <w:szCs w:val="24"/>
          <w:lang w:val="es-ES_tradnl"/>
        </w:rPr>
        <w:t xml:space="preserve"> de mejorar la empleabilidad de </w:t>
      </w:r>
      <w:r>
        <w:rPr>
          <w:sz w:val="24"/>
          <w:szCs w:val="24"/>
          <w:lang w:val="es-ES_tradnl"/>
        </w:rPr>
        <w:t>sus empleados</w:t>
      </w:r>
      <w:r w:rsidR="00A414D2">
        <w:rPr>
          <w:rFonts w:ascii="MinionPro-Regular" w:hAnsi="MinionPro-Regular"/>
          <w:sz w:val="24"/>
          <w:szCs w:val="24"/>
          <w:lang w:val="es-ES_tradnl"/>
        </w:rPr>
        <w:t xml:space="preserve">. </w:t>
      </w:r>
    </w:p>
    <w:p w:rsidR="00E323F1" w:rsidRDefault="00E323F1" w:rsidP="00A414D2">
      <w:pPr>
        <w:autoSpaceDE w:val="0"/>
        <w:autoSpaceDN w:val="0"/>
        <w:spacing w:line="360" w:lineRule="auto"/>
        <w:jc w:val="both"/>
        <w:rPr>
          <w:rFonts w:ascii="MinionPro-Regular" w:hAnsi="MinionPro-Regular"/>
          <w:sz w:val="24"/>
          <w:szCs w:val="24"/>
          <w:lang w:val="es-ES_tradnl"/>
        </w:rPr>
      </w:pPr>
    </w:p>
    <w:p w:rsidR="00A414D2" w:rsidRPr="00D5362D" w:rsidRDefault="00ED0218"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Lograr</w:t>
      </w:r>
      <w:r w:rsidR="00A414D2" w:rsidRPr="0005309C">
        <w:rPr>
          <w:rFonts w:ascii="MinionPro-Regular" w:hAnsi="MinionPro-Regular"/>
          <w:sz w:val="24"/>
          <w:szCs w:val="24"/>
          <w:lang w:val="es-ES_tradnl"/>
        </w:rPr>
        <w:t xml:space="preserve"> una mayor penetración de la tecnología en el sector, sin embargo, </w:t>
      </w:r>
      <w:r>
        <w:rPr>
          <w:rFonts w:ascii="MinionPro-Regular" w:hAnsi="MinionPro-Regular"/>
          <w:sz w:val="24"/>
          <w:szCs w:val="24"/>
          <w:lang w:val="es-ES_tradnl"/>
        </w:rPr>
        <w:t>necesitaría</w:t>
      </w:r>
      <w:r w:rsidR="00A414D2" w:rsidRPr="0005309C">
        <w:rPr>
          <w:rFonts w:ascii="MinionPro-Regular" w:hAnsi="MinionPro-Regular"/>
          <w:sz w:val="24"/>
          <w:szCs w:val="24"/>
          <w:lang w:val="es-ES_tradnl"/>
        </w:rPr>
        <w:t xml:space="preserve"> superar dos retos: buscar formas de financiación que vayan más allá de las ayudas </w:t>
      </w:r>
      <w:r w:rsidR="006F51AE">
        <w:rPr>
          <w:rFonts w:ascii="MinionPro-Regular" w:hAnsi="MinionPro-Regular"/>
          <w:sz w:val="24"/>
          <w:szCs w:val="24"/>
          <w:lang w:val="es-ES_tradnl"/>
        </w:rPr>
        <w:t xml:space="preserve">públicas </w:t>
      </w:r>
      <w:r w:rsidR="00A414D2" w:rsidRPr="0005309C">
        <w:rPr>
          <w:rFonts w:ascii="MinionPro-Regular" w:hAnsi="MinionPro-Regular"/>
          <w:sz w:val="24"/>
          <w:szCs w:val="24"/>
          <w:lang w:val="es-ES_tradnl"/>
        </w:rPr>
        <w:t>y fomentar un cambio de cultur</w:t>
      </w:r>
      <w:r w:rsidR="006F51AE">
        <w:rPr>
          <w:rFonts w:ascii="MinionPro-Regular" w:hAnsi="MinionPro-Regular"/>
          <w:sz w:val="24"/>
          <w:szCs w:val="24"/>
          <w:lang w:val="es-ES_tradnl"/>
        </w:rPr>
        <w:t>a con respecto al por</w:t>
      </w:r>
      <w:r w:rsidR="00A414D2" w:rsidRPr="0005309C">
        <w:rPr>
          <w:rFonts w:ascii="MinionPro-Regular" w:hAnsi="MinionPro-Regular"/>
          <w:sz w:val="24"/>
          <w:szCs w:val="24"/>
          <w:lang w:val="es-ES_tradnl"/>
        </w:rPr>
        <w:t xml:space="preserve">qué de la tecnología. Hace falta que los centros especiales de empleo se convenzan de que la adopción de nuevas tecnologías no sólo afecta a la productividad de los centros sino que, a través de la formación de los empleados en el uso de estas nuevas tecnologías, se potencia significativamente su empleabilidad. </w:t>
      </w:r>
    </w:p>
    <w:p w:rsidR="00A414D2" w:rsidRPr="00A414D2" w:rsidRDefault="00B3663B" w:rsidP="00A414D2">
      <w:pPr>
        <w:pStyle w:val="Ttulo2"/>
        <w:rPr>
          <w:lang w:val="es-ES_tradnl"/>
        </w:rPr>
      </w:pPr>
      <w:bookmarkStart w:id="312" w:name="_Toc410916899"/>
      <w:r>
        <w:rPr>
          <w:lang w:val="es-ES_tradnl"/>
        </w:rPr>
        <w:t>Identificar</w:t>
      </w:r>
      <w:r w:rsidR="006F51AE">
        <w:rPr>
          <w:lang w:val="es-ES_tradnl"/>
        </w:rPr>
        <w:t xml:space="preserve"> oportunidades de</w:t>
      </w:r>
      <w:r w:rsidR="00A414D2" w:rsidRPr="00A414D2">
        <w:rPr>
          <w:lang w:val="es-ES_tradnl"/>
        </w:rPr>
        <w:t xml:space="preserve"> financiación</w:t>
      </w:r>
      <w:r w:rsidR="006F51AE">
        <w:rPr>
          <w:lang w:val="es-ES_tradnl"/>
        </w:rPr>
        <w:t xml:space="preserve"> y colaboración</w:t>
      </w:r>
      <w:r>
        <w:rPr>
          <w:lang w:val="es-ES_tradnl"/>
        </w:rPr>
        <w:t xml:space="preserve"> que complementen las actuales</w:t>
      </w:r>
      <w:bookmarkEnd w:id="312"/>
    </w:p>
    <w:p w:rsidR="00A414D2" w:rsidRPr="00A414D2" w:rsidRDefault="00A414D2" w:rsidP="00A414D2">
      <w:pPr>
        <w:spacing w:line="360" w:lineRule="auto"/>
        <w:jc w:val="both"/>
        <w:rPr>
          <w:rFonts w:ascii="MinionPro-Regular" w:hAnsi="MinionPro-Regular"/>
          <w:b/>
          <w:sz w:val="24"/>
          <w:szCs w:val="24"/>
          <w:lang w:val="es-ES_tradnl"/>
        </w:rPr>
      </w:pPr>
    </w:p>
    <w:p w:rsidR="00A414D2" w:rsidRDefault="00A414D2" w:rsidP="00A414D2">
      <w:pPr>
        <w:spacing w:line="360" w:lineRule="auto"/>
        <w:jc w:val="both"/>
        <w:rPr>
          <w:rFonts w:ascii="MinionPro-Regular" w:hAnsi="MinionPro-Regular"/>
          <w:sz w:val="24"/>
          <w:szCs w:val="24"/>
          <w:lang w:val="es-ES_tradnl"/>
        </w:rPr>
      </w:pPr>
      <w:r w:rsidRPr="00072505">
        <w:rPr>
          <w:rFonts w:ascii="MinionPro-Regular" w:hAnsi="MinionPro-Regular"/>
          <w:sz w:val="24"/>
          <w:szCs w:val="24"/>
          <w:lang w:val="es-ES_tradnl"/>
        </w:rPr>
        <w:t>La necesidad de que la tecnología penetre en los modelo</w:t>
      </w:r>
      <w:r>
        <w:rPr>
          <w:rFonts w:ascii="MinionPro-Regular" w:hAnsi="MinionPro-Regular"/>
          <w:sz w:val="24"/>
          <w:szCs w:val="24"/>
          <w:lang w:val="es-ES_tradnl"/>
        </w:rPr>
        <w:t>s</w:t>
      </w:r>
      <w:r w:rsidRPr="00072505">
        <w:rPr>
          <w:rFonts w:ascii="MinionPro-Regular" w:hAnsi="MinionPro-Regular"/>
          <w:sz w:val="24"/>
          <w:szCs w:val="24"/>
          <w:lang w:val="es-ES_tradnl"/>
        </w:rPr>
        <w:t xml:space="preserve"> de negocio y de gestión de los centros especiales de empleo exige que el sector se abra a nuevas formas de fi</w:t>
      </w:r>
      <w:r>
        <w:rPr>
          <w:rFonts w:ascii="MinionPro-Regular" w:hAnsi="MinionPro-Regular"/>
          <w:sz w:val="24"/>
          <w:szCs w:val="24"/>
          <w:lang w:val="es-ES_tradnl"/>
        </w:rPr>
        <w:t>nanciación</w:t>
      </w:r>
      <w:r w:rsidRPr="00072505">
        <w:rPr>
          <w:rFonts w:ascii="MinionPro-Regular" w:hAnsi="MinionPro-Regular"/>
          <w:sz w:val="24"/>
          <w:szCs w:val="24"/>
          <w:lang w:val="es-ES_tradnl"/>
        </w:rPr>
        <w:t xml:space="preserve">. </w:t>
      </w:r>
    </w:p>
    <w:p w:rsidR="00A414D2" w:rsidRPr="00072505" w:rsidRDefault="00A414D2" w:rsidP="00A414D2">
      <w:pPr>
        <w:spacing w:line="360" w:lineRule="auto"/>
        <w:jc w:val="both"/>
        <w:rPr>
          <w:rFonts w:ascii="MinionPro-Regular" w:hAnsi="MinionPro-Regular"/>
          <w:sz w:val="24"/>
          <w:szCs w:val="24"/>
          <w:lang w:val="es-ES_tradnl"/>
        </w:rPr>
      </w:pPr>
    </w:p>
    <w:p w:rsidR="00A414D2" w:rsidRDefault="00A414D2" w:rsidP="00A414D2">
      <w:pPr>
        <w:spacing w:line="360" w:lineRule="auto"/>
        <w:jc w:val="both"/>
        <w:rPr>
          <w:rFonts w:ascii="MinionPro-Regular" w:hAnsi="MinionPro-Regular"/>
          <w:sz w:val="24"/>
          <w:szCs w:val="24"/>
          <w:lang w:val="es-ES_tradnl"/>
        </w:rPr>
      </w:pPr>
      <w:r w:rsidRPr="00DE538E">
        <w:rPr>
          <w:rFonts w:ascii="MinionPro-Regular" w:hAnsi="MinionPro-Regular"/>
          <w:sz w:val="24"/>
          <w:szCs w:val="24"/>
          <w:lang w:val="es-ES_tradnl"/>
        </w:rPr>
        <w:t xml:space="preserve">Aunque los incentivos </w:t>
      </w:r>
      <w:r w:rsidR="006F51AE">
        <w:rPr>
          <w:rFonts w:ascii="MinionPro-Regular" w:hAnsi="MinionPro-Regular"/>
          <w:sz w:val="24"/>
          <w:szCs w:val="24"/>
          <w:lang w:val="es-ES_tradnl"/>
        </w:rPr>
        <w:t>públicos</w:t>
      </w:r>
      <w:r w:rsidRPr="00DE538E">
        <w:rPr>
          <w:rFonts w:ascii="MinionPro-Regular" w:hAnsi="MinionPro-Regular"/>
          <w:sz w:val="24"/>
          <w:szCs w:val="24"/>
          <w:lang w:val="es-ES_tradnl"/>
        </w:rPr>
        <w:t xml:space="preserve"> </w:t>
      </w:r>
      <w:r>
        <w:rPr>
          <w:rFonts w:ascii="MinionPro-Regular" w:hAnsi="MinionPro-Regular"/>
          <w:sz w:val="24"/>
          <w:szCs w:val="24"/>
          <w:lang w:val="es-ES_tradnl"/>
        </w:rPr>
        <w:t>siempre pueden</w:t>
      </w:r>
      <w:r w:rsidRPr="00DE538E">
        <w:rPr>
          <w:rFonts w:ascii="MinionPro-Regular" w:hAnsi="MinionPro-Regular"/>
          <w:sz w:val="24"/>
          <w:szCs w:val="24"/>
          <w:lang w:val="es-ES_tradnl"/>
        </w:rPr>
        <w:t xml:space="preserve"> servir como impulso y tener un efecto incentivador sobre los centros, la</w:t>
      </w:r>
      <w:r>
        <w:rPr>
          <w:rFonts w:ascii="MinionPro-Regular" w:hAnsi="MinionPro-Regular"/>
          <w:sz w:val="24"/>
          <w:szCs w:val="24"/>
          <w:lang w:val="es-ES_tradnl"/>
        </w:rPr>
        <w:t>s inversiones</w:t>
      </w:r>
      <w:r w:rsidR="006F51AE">
        <w:rPr>
          <w:rFonts w:ascii="MinionPro-Regular" w:hAnsi="MinionPro-Regular"/>
          <w:sz w:val="24"/>
          <w:szCs w:val="24"/>
          <w:lang w:val="es-ES_tradnl"/>
        </w:rPr>
        <w:t xml:space="preserve"> tecnológicas requieren de la búsqueda de</w:t>
      </w:r>
      <w:r w:rsidRPr="00DE538E">
        <w:rPr>
          <w:rFonts w:ascii="MinionPro-Regular" w:hAnsi="MinionPro-Regular"/>
          <w:sz w:val="24"/>
          <w:szCs w:val="24"/>
          <w:lang w:val="es-ES_tradnl"/>
        </w:rPr>
        <w:t xml:space="preserve"> </w:t>
      </w:r>
      <w:r w:rsidR="00ED0218">
        <w:rPr>
          <w:rFonts w:ascii="MinionPro-Regular" w:hAnsi="MinionPro-Regular"/>
          <w:sz w:val="24"/>
          <w:szCs w:val="24"/>
          <w:lang w:val="es-ES_tradnl"/>
        </w:rPr>
        <w:t xml:space="preserve">nuevas </w:t>
      </w:r>
      <w:r w:rsidRPr="00DE538E">
        <w:rPr>
          <w:rFonts w:ascii="MinionPro-Regular" w:hAnsi="MinionPro-Regular"/>
          <w:sz w:val="24"/>
          <w:szCs w:val="24"/>
          <w:lang w:val="es-ES_tradnl"/>
        </w:rPr>
        <w:t xml:space="preserve">líneas de </w:t>
      </w:r>
      <w:r w:rsidR="00ED0218">
        <w:rPr>
          <w:rFonts w:ascii="MinionPro-Regular" w:hAnsi="MinionPro-Regular"/>
          <w:sz w:val="24"/>
          <w:szCs w:val="24"/>
          <w:lang w:val="es-ES_tradnl"/>
        </w:rPr>
        <w:t xml:space="preserve">colaboración y </w:t>
      </w:r>
      <w:r w:rsidRPr="00DE538E">
        <w:rPr>
          <w:rFonts w:ascii="MinionPro-Regular" w:hAnsi="MinionPro-Regular"/>
          <w:sz w:val="24"/>
          <w:szCs w:val="24"/>
          <w:lang w:val="es-ES_tradnl"/>
        </w:rPr>
        <w:t>financiación, abriéndose al ámbito europeo y al ámbito privado</w:t>
      </w:r>
      <w:r>
        <w:rPr>
          <w:rFonts w:ascii="MinionPro-Regular" w:hAnsi="MinionPro-Regular"/>
          <w:sz w:val="24"/>
          <w:szCs w:val="24"/>
          <w:lang w:val="es-ES_tradnl"/>
        </w:rPr>
        <w:t>.</w:t>
      </w:r>
      <w:r w:rsidR="006F51AE">
        <w:rPr>
          <w:rFonts w:ascii="MinionPro-Regular" w:hAnsi="MinionPro-Regular"/>
          <w:sz w:val="24"/>
          <w:szCs w:val="24"/>
          <w:lang w:val="es-ES_tradnl"/>
        </w:rPr>
        <w:t xml:space="preserve"> Las nuevas oportunidades no sólo tienen que ver con la financiación de la renovación tecnológica, sino también con la identificación de nuevas oportunidades vinculadas a la aplicación de las nuevas tecnologías a la actividad de los centros. </w:t>
      </w:r>
    </w:p>
    <w:p w:rsidR="00A414D2" w:rsidRDefault="00A414D2" w:rsidP="00A414D2">
      <w:pPr>
        <w:spacing w:line="360" w:lineRule="auto"/>
        <w:jc w:val="both"/>
        <w:rPr>
          <w:rFonts w:ascii="MinionPro-Regular" w:hAnsi="MinionPro-Regular"/>
          <w:sz w:val="24"/>
          <w:szCs w:val="24"/>
          <w:lang w:val="es-ES_tradnl"/>
        </w:rPr>
      </w:pPr>
    </w:p>
    <w:p w:rsidR="00A414D2" w:rsidRDefault="00A414D2" w:rsidP="00A414D2">
      <w:pPr>
        <w:spacing w:line="360" w:lineRule="auto"/>
        <w:jc w:val="both"/>
        <w:rPr>
          <w:rFonts w:ascii="MinionPro-Regular" w:hAnsi="MinionPro-Regular"/>
          <w:sz w:val="24"/>
          <w:szCs w:val="24"/>
          <w:lang w:val="es-ES_tradnl"/>
        </w:rPr>
      </w:pPr>
      <w:r w:rsidRPr="0007408D">
        <w:rPr>
          <w:rFonts w:ascii="MinionPro-Regular" w:hAnsi="MinionPro-Regular"/>
          <w:sz w:val="24"/>
          <w:szCs w:val="24"/>
          <w:lang w:val="es-ES_tradnl"/>
        </w:rPr>
        <w:t xml:space="preserve">En esta línea, el sector </w:t>
      </w:r>
      <w:r w:rsidR="006F51AE">
        <w:rPr>
          <w:rFonts w:ascii="MinionPro-Regular" w:hAnsi="MinionPro-Regular"/>
          <w:sz w:val="24"/>
          <w:szCs w:val="24"/>
          <w:lang w:val="es-ES_tradnl"/>
        </w:rPr>
        <w:t>podría</w:t>
      </w:r>
      <w:r w:rsidRPr="0007408D">
        <w:rPr>
          <w:rFonts w:ascii="MinionPro-Regular" w:hAnsi="MinionPro-Regular"/>
          <w:sz w:val="24"/>
          <w:szCs w:val="24"/>
          <w:lang w:val="es-ES_tradnl"/>
        </w:rPr>
        <w:t xml:space="preserve"> aprovecharse del enorme apoyo que existe actualmente para el emprendimi</w:t>
      </w:r>
      <w:r w:rsidR="00B23EFE">
        <w:rPr>
          <w:rFonts w:ascii="MinionPro-Regular" w:hAnsi="MinionPro-Regular"/>
          <w:sz w:val="24"/>
          <w:szCs w:val="24"/>
          <w:lang w:val="es-ES_tradnl"/>
        </w:rPr>
        <w:t>ento social en la unión europea.</w:t>
      </w:r>
    </w:p>
    <w:p w:rsidR="00A414D2" w:rsidRPr="00DE538E" w:rsidRDefault="00A414D2" w:rsidP="00A414D2">
      <w:pPr>
        <w:spacing w:line="360" w:lineRule="auto"/>
        <w:jc w:val="both"/>
        <w:rPr>
          <w:rFonts w:ascii="MinionPro-Regular" w:hAnsi="MinionPro-Regular"/>
          <w:sz w:val="24"/>
          <w:szCs w:val="24"/>
          <w:lang w:val="es-ES_tradnl"/>
        </w:rPr>
      </w:pPr>
    </w:p>
    <w:p w:rsidR="00A414D2" w:rsidRDefault="00A414D2" w:rsidP="00A414D2">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También s</w:t>
      </w:r>
      <w:r w:rsidRPr="00DE538E">
        <w:rPr>
          <w:rFonts w:ascii="MinionPro-Regular" w:hAnsi="MinionPro-Regular"/>
          <w:sz w:val="24"/>
          <w:szCs w:val="24"/>
          <w:lang w:val="es-ES_tradnl"/>
        </w:rPr>
        <w:t>ería conveniente que se considera</w:t>
      </w:r>
      <w:r>
        <w:rPr>
          <w:rFonts w:ascii="MinionPro-Regular" w:hAnsi="MinionPro-Regular"/>
          <w:sz w:val="24"/>
          <w:szCs w:val="24"/>
          <w:lang w:val="es-ES_tradnl"/>
        </w:rPr>
        <w:t>ra</w:t>
      </w:r>
      <w:r w:rsidRPr="00DE538E">
        <w:rPr>
          <w:rFonts w:ascii="MinionPro-Regular" w:hAnsi="MinionPro-Regular"/>
          <w:sz w:val="24"/>
          <w:szCs w:val="24"/>
          <w:lang w:val="es-ES_tradnl"/>
        </w:rPr>
        <w:t xml:space="preserve"> la unión o asociación de más de un centro </w:t>
      </w:r>
      <w:r w:rsidR="00ED0218">
        <w:rPr>
          <w:rFonts w:ascii="MinionPro-Regular" w:hAnsi="MinionPro-Regular"/>
          <w:sz w:val="24"/>
          <w:szCs w:val="24"/>
          <w:lang w:val="es-ES_tradnl"/>
        </w:rPr>
        <w:t xml:space="preserve">con compañías del sector </w:t>
      </w:r>
      <w:r w:rsidRPr="00DE538E">
        <w:rPr>
          <w:rFonts w:ascii="MinionPro-Regular" w:hAnsi="MinionPro-Regular"/>
          <w:sz w:val="24"/>
          <w:szCs w:val="24"/>
          <w:lang w:val="es-ES_tradnl"/>
        </w:rPr>
        <w:t xml:space="preserve">a la hora de hacer inversiones, sobre </w:t>
      </w:r>
      <w:r>
        <w:rPr>
          <w:rFonts w:ascii="MinionPro-Regular" w:hAnsi="MinionPro-Regular"/>
          <w:sz w:val="24"/>
          <w:szCs w:val="24"/>
          <w:lang w:val="es-ES_tradnl"/>
        </w:rPr>
        <w:t>todo cuando se trata de</w:t>
      </w:r>
      <w:r w:rsidRPr="00DE538E">
        <w:rPr>
          <w:rFonts w:ascii="MinionPro-Regular" w:hAnsi="MinionPro-Regular"/>
          <w:sz w:val="24"/>
          <w:szCs w:val="24"/>
          <w:lang w:val="es-ES_tradnl"/>
        </w:rPr>
        <w:t xml:space="preserve"> inversiones en tecnología, ya que ésta es fácilmente transferible de unos a otros centros y permite también el trabajo conjunto en la formación de empleados. </w:t>
      </w:r>
    </w:p>
    <w:p w:rsidR="00A414D2" w:rsidRPr="00A414D2" w:rsidRDefault="00B3663B" w:rsidP="00A414D2">
      <w:pPr>
        <w:pStyle w:val="Ttulo2"/>
        <w:rPr>
          <w:lang w:val="es-ES_tradnl"/>
        </w:rPr>
      </w:pPr>
      <w:bookmarkStart w:id="313" w:name="_Toc410916900"/>
      <w:r>
        <w:rPr>
          <w:lang w:val="es-ES_tradnl"/>
        </w:rPr>
        <w:t xml:space="preserve">Integrar principios de </w:t>
      </w:r>
      <w:r w:rsidR="006F51AE">
        <w:rPr>
          <w:lang w:val="es-ES_tradnl"/>
        </w:rPr>
        <w:t>t</w:t>
      </w:r>
      <w:r w:rsidR="00A414D2" w:rsidRPr="00A414D2">
        <w:rPr>
          <w:lang w:val="es-ES_tradnl"/>
        </w:rPr>
        <w:t xml:space="preserve">ransparencia </w:t>
      </w:r>
      <w:r>
        <w:rPr>
          <w:lang w:val="es-ES_tradnl"/>
        </w:rPr>
        <w:t>como elemento de ventaja competitiva</w:t>
      </w:r>
      <w:bookmarkEnd w:id="313"/>
    </w:p>
    <w:p w:rsidR="00A414D2" w:rsidRPr="00A414D2" w:rsidRDefault="00A414D2" w:rsidP="00A414D2">
      <w:pPr>
        <w:spacing w:line="360" w:lineRule="auto"/>
        <w:jc w:val="both"/>
        <w:rPr>
          <w:rFonts w:ascii="MinionPro-Regular" w:hAnsi="MinionPro-Regular"/>
          <w:b/>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Dado </w:t>
      </w:r>
      <w:r w:rsidR="00ED0218">
        <w:rPr>
          <w:rFonts w:ascii="MinionPro-Regular" w:hAnsi="MinionPro-Regular"/>
          <w:sz w:val="24"/>
          <w:szCs w:val="24"/>
          <w:lang w:val="es-ES_tradnl"/>
        </w:rPr>
        <w:t xml:space="preserve">su </w:t>
      </w:r>
      <w:r>
        <w:rPr>
          <w:rFonts w:ascii="MinionPro-Regular" w:hAnsi="MinionPro-Regular"/>
          <w:sz w:val="24"/>
          <w:szCs w:val="24"/>
          <w:lang w:val="es-ES_tradnl"/>
        </w:rPr>
        <w:t>enorme impacto social</w:t>
      </w:r>
      <w:r w:rsidR="00ED0218">
        <w:rPr>
          <w:rFonts w:ascii="MinionPro-Regular" w:hAnsi="MinionPro-Regular"/>
          <w:sz w:val="24"/>
          <w:szCs w:val="24"/>
          <w:lang w:val="es-ES_tradnl"/>
        </w:rPr>
        <w:t xml:space="preserve">, </w:t>
      </w:r>
      <w:r>
        <w:rPr>
          <w:rFonts w:ascii="MinionPro-Regular" w:hAnsi="MinionPro-Regular"/>
          <w:sz w:val="24"/>
          <w:szCs w:val="24"/>
          <w:lang w:val="es-ES_tradnl"/>
        </w:rPr>
        <w:t>l</w:t>
      </w:r>
      <w:r w:rsidRPr="00545073">
        <w:rPr>
          <w:rFonts w:ascii="MinionPro-Regular" w:hAnsi="MinionPro-Regular"/>
          <w:sz w:val="24"/>
          <w:szCs w:val="24"/>
          <w:lang w:val="es-ES_tradnl"/>
        </w:rPr>
        <w:t xml:space="preserve">os </w:t>
      </w:r>
      <w:r>
        <w:rPr>
          <w:rFonts w:ascii="MinionPro-Regular" w:hAnsi="MinionPro-Regular"/>
          <w:sz w:val="24"/>
          <w:szCs w:val="24"/>
          <w:lang w:val="es-ES_tradnl"/>
        </w:rPr>
        <w:t>centros especiales de empleo</w:t>
      </w:r>
      <w:r w:rsidRPr="00545073">
        <w:rPr>
          <w:rFonts w:ascii="MinionPro-Regular" w:hAnsi="MinionPro-Regular"/>
          <w:sz w:val="24"/>
          <w:szCs w:val="24"/>
          <w:lang w:val="es-ES_tradnl"/>
        </w:rPr>
        <w:t xml:space="preserve"> deberían ser</w:t>
      </w:r>
      <w:r>
        <w:rPr>
          <w:rFonts w:ascii="MinionPro-Regular" w:hAnsi="MinionPro-Regular"/>
          <w:sz w:val="24"/>
          <w:szCs w:val="24"/>
          <w:lang w:val="es-ES_tradnl"/>
        </w:rPr>
        <w:t xml:space="preserve"> </w:t>
      </w:r>
      <w:r w:rsidRPr="00545073">
        <w:rPr>
          <w:rFonts w:ascii="MinionPro-Regular" w:hAnsi="MinionPro-Regular"/>
          <w:sz w:val="24"/>
          <w:szCs w:val="24"/>
          <w:lang w:val="es-ES_tradnl"/>
        </w:rPr>
        <w:t>una fórmula empresarial admirada</w:t>
      </w:r>
      <w:r>
        <w:rPr>
          <w:rFonts w:ascii="MinionPro-Regular" w:hAnsi="MinionPro-Regular"/>
          <w:sz w:val="24"/>
          <w:szCs w:val="24"/>
          <w:lang w:val="es-ES_tradnl"/>
        </w:rPr>
        <w:t xml:space="preserve"> por todos</w:t>
      </w:r>
      <w:r w:rsidR="00ED0218">
        <w:rPr>
          <w:rFonts w:ascii="MinionPro-Regular" w:hAnsi="MinionPro-Regular"/>
          <w:sz w:val="24"/>
          <w:szCs w:val="24"/>
          <w:lang w:val="es-ES_tradnl"/>
        </w:rPr>
        <w:t>;</w:t>
      </w:r>
      <w:r>
        <w:rPr>
          <w:rFonts w:ascii="MinionPro-Regular" w:hAnsi="MinionPro-Regular"/>
          <w:sz w:val="24"/>
          <w:szCs w:val="24"/>
          <w:lang w:val="es-ES_tradnl"/>
        </w:rPr>
        <w:t xml:space="preserve"> desde las administraciones públicas, hasta sus clientes y la sociedad en general</w:t>
      </w:r>
      <w:r w:rsidRPr="00545073">
        <w:rPr>
          <w:rFonts w:ascii="MinionPro-Regular" w:hAnsi="MinionPro-Regular"/>
          <w:sz w:val="24"/>
          <w:szCs w:val="24"/>
          <w:lang w:val="es-ES_tradnl"/>
        </w:rPr>
        <w:t xml:space="preserve">. </w:t>
      </w:r>
      <w:r>
        <w:rPr>
          <w:rFonts w:ascii="MinionPro-Regular" w:hAnsi="MinionPro-Regular"/>
          <w:sz w:val="24"/>
          <w:szCs w:val="24"/>
          <w:lang w:val="es-ES_tradnl"/>
        </w:rPr>
        <w:t xml:space="preserve">Sin embargo, su modelo e incluso su existencia son </w:t>
      </w:r>
      <w:r w:rsidR="00ED0218">
        <w:rPr>
          <w:rFonts w:ascii="MinionPro-Regular" w:hAnsi="MinionPro-Regular"/>
          <w:sz w:val="24"/>
          <w:szCs w:val="24"/>
          <w:lang w:val="es-ES_tradnl"/>
        </w:rPr>
        <w:t>insuficientemente conocidos. Este desconocimiento no sólo tiene impacto en la percepción pública sino que, con seguridad, en ocasiones les impide aprovechar oportunidades del mercado.</w:t>
      </w:r>
      <w:r>
        <w:rPr>
          <w:rFonts w:ascii="MinionPro-Regular" w:hAnsi="MinionPro-Regular"/>
          <w:sz w:val="24"/>
          <w:szCs w:val="24"/>
          <w:lang w:val="es-ES_tradnl"/>
        </w:rPr>
        <w:t xml:space="preserve"> </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visibilidad y credibilidad de los </w:t>
      </w:r>
      <w:r w:rsidR="008B273C">
        <w:rPr>
          <w:rFonts w:ascii="MinionPro-Regular" w:hAnsi="MinionPro-Regular"/>
          <w:sz w:val="24"/>
          <w:szCs w:val="24"/>
          <w:lang w:val="es-ES_tradnl"/>
        </w:rPr>
        <w:t>CEEs</w:t>
      </w:r>
      <w:r>
        <w:rPr>
          <w:rFonts w:ascii="MinionPro-Regular" w:hAnsi="MinionPro-Regular"/>
          <w:sz w:val="24"/>
          <w:szCs w:val="24"/>
          <w:lang w:val="es-ES_tradnl"/>
        </w:rPr>
        <w:t xml:space="preserve"> depende, en gran medida, de que existan datos agregados y fácilmente accesibles sobre el impacto social generado por cada centro y por el conjunto del sector. En este sentido, </w:t>
      </w:r>
      <w:r w:rsidRPr="009B5A54">
        <w:rPr>
          <w:rFonts w:ascii="MinionPro-Regular" w:hAnsi="MinionPro-Regular"/>
          <w:sz w:val="24"/>
          <w:szCs w:val="24"/>
          <w:lang w:val="es-ES_tradnl"/>
        </w:rPr>
        <w:t xml:space="preserve">sería recomendable que los centros especiales de empleo </w:t>
      </w:r>
      <w:r>
        <w:rPr>
          <w:rFonts w:ascii="MinionPro-Regular" w:hAnsi="MinionPro-Regular"/>
          <w:sz w:val="24"/>
          <w:szCs w:val="24"/>
          <w:lang w:val="es-ES_tradnl"/>
        </w:rPr>
        <w:t>de Castilla y León lideraran</w:t>
      </w:r>
      <w:r w:rsidRPr="001F4969">
        <w:rPr>
          <w:rFonts w:ascii="MinionPro-Regular" w:hAnsi="MinionPro-Regular"/>
          <w:sz w:val="24"/>
          <w:szCs w:val="24"/>
          <w:lang w:val="es-ES_tradnl"/>
        </w:rPr>
        <w:t xml:space="preserve"> una iniciativa de transparencia.</w:t>
      </w:r>
      <w:r>
        <w:rPr>
          <w:rFonts w:ascii="MinionPro-Regular" w:hAnsi="MinionPro-Regular"/>
          <w:sz w:val="24"/>
          <w:szCs w:val="24"/>
          <w:lang w:val="es-ES_tradnl"/>
        </w:rPr>
        <w:t xml:space="preserve"> </w:t>
      </w:r>
      <w:r w:rsidRPr="00C1570F">
        <w:rPr>
          <w:rFonts w:ascii="MinionPro-Regular" w:hAnsi="MinionPro-Regular"/>
          <w:sz w:val="24"/>
          <w:szCs w:val="24"/>
          <w:lang w:val="es-ES_tradnl"/>
        </w:rPr>
        <w:t xml:space="preserve">Se trataría </w:t>
      </w:r>
      <w:r w:rsidR="008B273C">
        <w:rPr>
          <w:rFonts w:ascii="MinionPro-Regular" w:hAnsi="MinionPro-Regular"/>
          <w:sz w:val="24"/>
          <w:szCs w:val="24"/>
          <w:lang w:val="es-ES_tradnl"/>
        </w:rPr>
        <w:t xml:space="preserve">de </w:t>
      </w:r>
      <w:r w:rsidRPr="00C1570F">
        <w:rPr>
          <w:rFonts w:ascii="MinionPro-Regular" w:hAnsi="MinionPro-Regular"/>
          <w:sz w:val="24"/>
          <w:szCs w:val="24"/>
          <w:lang w:val="es-ES_tradnl"/>
        </w:rPr>
        <w:t xml:space="preserve">reportar información clara y transparente sobre la gestión de los fondos públicos y sobre el impacto de su actividad en la sociedad. </w:t>
      </w:r>
      <w:r w:rsidR="00355237">
        <w:rPr>
          <w:rFonts w:ascii="MinionPro-Regular" w:hAnsi="MinionPro-Regular"/>
          <w:sz w:val="24"/>
          <w:szCs w:val="24"/>
          <w:lang w:val="es-ES_tradnl"/>
        </w:rPr>
        <w:t xml:space="preserve"> </w:t>
      </w:r>
      <w:r>
        <w:rPr>
          <w:rFonts w:ascii="MinionPro-Regular" w:hAnsi="MinionPro-Regular"/>
          <w:sz w:val="24"/>
          <w:szCs w:val="24"/>
          <w:lang w:val="es-ES_tradnl"/>
        </w:rPr>
        <w:t xml:space="preserve">En un momento en el que impera un cierto cuestionamiento de las iniciativas públicas en materia social, es especialmente relevante que la labor de los </w:t>
      </w:r>
      <w:r w:rsidR="008B273C">
        <w:rPr>
          <w:rFonts w:ascii="MinionPro-Regular" w:hAnsi="MinionPro-Regular"/>
          <w:sz w:val="24"/>
          <w:szCs w:val="24"/>
          <w:lang w:val="es-ES_tradnl"/>
        </w:rPr>
        <w:t>CEEs</w:t>
      </w:r>
      <w:r>
        <w:rPr>
          <w:rFonts w:ascii="MinionPro-Regular" w:hAnsi="MinionPro-Regular"/>
          <w:sz w:val="24"/>
          <w:szCs w:val="24"/>
          <w:lang w:val="es-ES_tradnl"/>
        </w:rPr>
        <w:t xml:space="preserve"> sea conocida y valorada. </w:t>
      </w:r>
    </w:p>
    <w:p w:rsidR="00355237" w:rsidRDefault="00355237"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pPr>
      <w:r w:rsidRPr="00922A02">
        <w:rPr>
          <w:rFonts w:ascii="MinionPro-Regular" w:hAnsi="MinionPro-Regular"/>
          <w:sz w:val="24"/>
          <w:szCs w:val="24"/>
          <w:lang w:val="es-ES_tradnl"/>
        </w:rPr>
        <w:t>Aunque la Ley de Transparencia establece unos requerimientos mínimos en materia de transparencia y buen gobierno, el sector podría</w:t>
      </w:r>
      <w:r>
        <w:rPr>
          <w:rFonts w:ascii="MinionPro-Regular" w:hAnsi="MinionPro-Regular"/>
          <w:sz w:val="24"/>
          <w:szCs w:val="24"/>
          <w:lang w:val="es-ES_tradnl"/>
        </w:rPr>
        <w:t xml:space="preserve"> utilizar esta oportunidad para</w:t>
      </w:r>
      <w:r w:rsidRPr="00922A02">
        <w:rPr>
          <w:rFonts w:ascii="MinionPro-Regular" w:hAnsi="MinionPro-Regular"/>
          <w:sz w:val="24"/>
          <w:szCs w:val="24"/>
          <w:lang w:val="es-ES_tradnl"/>
        </w:rPr>
        <w:t xml:space="preserve"> ir más allá de lo que </w:t>
      </w:r>
      <w:r>
        <w:rPr>
          <w:rFonts w:ascii="MinionPro-Regular" w:hAnsi="MinionPro-Regular"/>
          <w:sz w:val="24"/>
          <w:szCs w:val="24"/>
          <w:lang w:val="es-ES_tradnl"/>
        </w:rPr>
        <w:t>obliga la ley</w:t>
      </w:r>
      <w:r w:rsidRPr="00922A02">
        <w:rPr>
          <w:rFonts w:ascii="MinionPro-Regular" w:hAnsi="MinionPro-Regular"/>
          <w:sz w:val="24"/>
          <w:szCs w:val="24"/>
          <w:lang w:val="es-ES_tradnl"/>
        </w:rPr>
        <w:t xml:space="preserve">. </w:t>
      </w:r>
      <w:r>
        <w:rPr>
          <w:rFonts w:ascii="MinionPro-Regular" w:hAnsi="MinionPro-Regular"/>
          <w:sz w:val="24"/>
          <w:szCs w:val="24"/>
          <w:lang w:val="es-ES_tradnl"/>
        </w:rPr>
        <w:t>Este compromiso podría materializarse a través de la publicación de una memoria</w:t>
      </w:r>
      <w:r w:rsidRPr="003D4C62">
        <w:rPr>
          <w:rFonts w:ascii="MinionPro-Regular" w:hAnsi="MinionPro-Regular"/>
          <w:sz w:val="24"/>
          <w:szCs w:val="24"/>
          <w:lang w:val="es-ES_tradnl"/>
        </w:rPr>
        <w:t xml:space="preserve"> social anual, o en su defecto, de la publicación regular de </w:t>
      </w:r>
      <w:r w:rsidR="00ED0218">
        <w:rPr>
          <w:rFonts w:ascii="MinionPro-Regular" w:hAnsi="MinionPro-Regular"/>
          <w:sz w:val="24"/>
          <w:szCs w:val="24"/>
          <w:lang w:val="es-ES_tradnl"/>
        </w:rPr>
        <w:t xml:space="preserve">los </w:t>
      </w:r>
      <w:r w:rsidRPr="003D4C62">
        <w:rPr>
          <w:rFonts w:ascii="MinionPro-Regular" w:hAnsi="MinionPro-Regular"/>
          <w:sz w:val="24"/>
          <w:szCs w:val="24"/>
          <w:lang w:val="es-ES_tradnl"/>
        </w:rPr>
        <w:t>datos básico</w:t>
      </w:r>
      <w:r>
        <w:rPr>
          <w:rFonts w:ascii="MinionPro-Regular" w:hAnsi="MinionPro-Regular"/>
          <w:sz w:val="24"/>
          <w:szCs w:val="24"/>
          <w:lang w:val="es-ES_tradnl"/>
        </w:rPr>
        <w:t>s</w:t>
      </w:r>
      <w:r w:rsidRPr="003D4C62">
        <w:rPr>
          <w:rFonts w:ascii="MinionPro-Regular" w:hAnsi="MinionPro-Regular"/>
          <w:sz w:val="24"/>
          <w:szCs w:val="24"/>
          <w:lang w:val="es-ES_tradnl"/>
        </w:rPr>
        <w:t xml:space="preserve"> e indicadores</w:t>
      </w:r>
      <w:r w:rsidR="00ED0218">
        <w:rPr>
          <w:rFonts w:ascii="MinionPro-Regular" w:hAnsi="MinionPro-Regular"/>
          <w:sz w:val="24"/>
          <w:szCs w:val="24"/>
          <w:lang w:val="es-ES_tradnl"/>
        </w:rPr>
        <w:t xml:space="preserve"> tanto económicos como</w:t>
      </w:r>
      <w:r w:rsidRPr="003D4C62">
        <w:rPr>
          <w:rFonts w:ascii="MinionPro-Regular" w:hAnsi="MinionPro-Regular"/>
          <w:sz w:val="24"/>
          <w:szCs w:val="24"/>
          <w:lang w:val="es-ES_tradnl"/>
        </w:rPr>
        <w:t xml:space="preserve"> relativ</w:t>
      </w:r>
      <w:r>
        <w:rPr>
          <w:rFonts w:ascii="MinionPro-Regular" w:hAnsi="MinionPro-Regular"/>
          <w:sz w:val="24"/>
          <w:szCs w:val="24"/>
          <w:lang w:val="es-ES_tradnl"/>
        </w:rPr>
        <w:t>os al impacto social generado</w:t>
      </w:r>
      <w:r w:rsidR="00ED0218">
        <w:rPr>
          <w:rFonts w:ascii="MinionPro-Regular" w:hAnsi="MinionPro-Regular"/>
          <w:sz w:val="24"/>
          <w:szCs w:val="24"/>
          <w:lang w:val="es-ES_tradnl"/>
        </w:rPr>
        <w:t xml:space="preserve"> que ponen a disposición de la Junta de Castilla y León</w:t>
      </w:r>
      <w:r w:rsidR="00355237">
        <w:rPr>
          <w:rFonts w:ascii="MinionPro-Regular" w:hAnsi="MinionPro-Regular"/>
          <w:sz w:val="24"/>
          <w:szCs w:val="24"/>
          <w:lang w:val="es-ES_tradnl"/>
        </w:rPr>
        <w:t xml:space="preserve"> cada año</w:t>
      </w:r>
      <w:r>
        <w:rPr>
          <w:rFonts w:ascii="MinionPro-Regular" w:hAnsi="MinionPro-Regular"/>
          <w:sz w:val="24"/>
          <w:szCs w:val="24"/>
          <w:lang w:val="es-ES_tradnl"/>
        </w:rPr>
        <w:t xml:space="preserve">. </w:t>
      </w:r>
    </w:p>
    <w:p w:rsidR="00A414D2" w:rsidRPr="00C1570F" w:rsidRDefault="00A414D2" w:rsidP="00A414D2">
      <w:pPr>
        <w:autoSpaceDE w:val="0"/>
        <w:autoSpaceDN w:val="0"/>
        <w:spacing w:line="360" w:lineRule="auto"/>
        <w:jc w:val="both"/>
      </w:pPr>
    </w:p>
    <w:p w:rsidR="00A414D2" w:rsidRDefault="00A414D2" w:rsidP="00A414D2">
      <w:pPr>
        <w:autoSpaceDE w:val="0"/>
        <w:autoSpaceDN w:val="0"/>
        <w:spacing w:line="360" w:lineRule="auto"/>
        <w:jc w:val="both"/>
        <w:rPr>
          <w:rFonts w:ascii="MinionPro-Regular" w:hAnsi="MinionPro-Regular"/>
          <w:sz w:val="24"/>
          <w:szCs w:val="24"/>
          <w:lang w:val="es-ES_tradnl"/>
        </w:rPr>
      </w:pPr>
      <w:r w:rsidRPr="001F4969">
        <w:rPr>
          <w:rFonts w:ascii="MinionPro-Regular" w:hAnsi="MinionPro-Regular"/>
          <w:sz w:val="24"/>
          <w:szCs w:val="24"/>
          <w:lang w:val="es-ES_tradnl"/>
        </w:rPr>
        <w:t xml:space="preserve">Los centros especiales de empleo, que siempre han sido un referente en materia de responsabilidad social, deberían avanzar en esta dirección para asegurar que sus prácticas de </w:t>
      </w:r>
      <w:r w:rsidR="00ED0218">
        <w:rPr>
          <w:rFonts w:ascii="MinionPro-Regular" w:hAnsi="MinionPro-Regular"/>
          <w:sz w:val="24"/>
          <w:szCs w:val="24"/>
          <w:lang w:val="es-ES_tradnl"/>
        </w:rPr>
        <w:t xml:space="preserve">responsabilidad corporativa, </w:t>
      </w:r>
      <w:r w:rsidRPr="001F4969">
        <w:rPr>
          <w:rFonts w:ascii="MinionPro-Regular" w:hAnsi="MinionPro-Regular"/>
          <w:sz w:val="24"/>
          <w:szCs w:val="24"/>
          <w:lang w:val="es-ES_tradnl"/>
        </w:rPr>
        <w:t xml:space="preserve">transparencia y buen gobierno no se quedan atrás mientras el resto de la sociedad se moderniza en este aspecto. </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Pr="00186558" w:rsidRDefault="00A414D2" w:rsidP="00A414D2">
      <w:pPr>
        <w:autoSpaceDE w:val="0"/>
        <w:autoSpaceDN w:val="0"/>
        <w:spacing w:line="360" w:lineRule="auto"/>
        <w:jc w:val="both"/>
        <w:rPr>
          <w:rFonts w:ascii="MinionPro-Regular" w:hAnsi="MinionPro-Regular"/>
          <w:sz w:val="24"/>
          <w:szCs w:val="24"/>
          <w:lang w:val="es-ES_tradnl"/>
        </w:rPr>
      </w:pPr>
      <w:r w:rsidRPr="00C1570F">
        <w:rPr>
          <w:rFonts w:ascii="MinionPro-Regular" w:hAnsi="MinionPro-Regular"/>
          <w:sz w:val="24"/>
          <w:szCs w:val="24"/>
          <w:lang w:val="es-ES_tradnl"/>
        </w:rPr>
        <w:t>Dado</w:t>
      </w:r>
      <w:r>
        <w:rPr>
          <w:rFonts w:ascii="MinionPro-Regular" w:hAnsi="MinionPro-Regular"/>
          <w:sz w:val="24"/>
          <w:szCs w:val="24"/>
          <w:lang w:val="es-ES_tradnl"/>
        </w:rPr>
        <w:t>s</w:t>
      </w:r>
      <w:r w:rsidR="00ED0218">
        <w:rPr>
          <w:rFonts w:ascii="MinionPro-Regular" w:hAnsi="MinionPro-Regular"/>
          <w:sz w:val="24"/>
          <w:szCs w:val="24"/>
          <w:lang w:val="es-ES_tradnl"/>
        </w:rPr>
        <w:t xml:space="preserve"> los resultados </w:t>
      </w:r>
      <w:r w:rsidRPr="00C1570F">
        <w:rPr>
          <w:rFonts w:ascii="MinionPro-Regular" w:hAnsi="MinionPro-Regular"/>
          <w:sz w:val="24"/>
          <w:szCs w:val="24"/>
          <w:lang w:val="es-ES_tradnl"/>
        </w:rPr>
        <w:t xml:space="preserve">positivos que se han puesto de manifiesto en este estudio, avanzar en la claridad y transparencia de </w:t>
      </w:r>
      <w:r>
        <w:rPr>
          <w:rFonts w:ascii="MinionPro-Regular" w:hAnsi="MinionPro-Regular"/>
          <w:sz w:val="24"/>
          <w:szCs w:val="24"/>
          <w:lang w:val="es-ES_tradnl"/>
        </w:rPr>
        <w:t xml:space="preserve">los centros </w:t>
      </w:r>
      <w:r w:rsidRPr="00C1570F">
        <w:rPr>
          <w:rFonts w:ascii="MinionPro-Regular" w:hAnsi="MinionPro-Regular"/>
          <w:sz w:val="24"/>
          <w:szCs w:val="24"/>
          <w:lang w:val="es-ES_tradnl"/>
        </w:rPr>
        <w:t>sólo puede impulsar su consolidación como agen</w:t>
      </w:r>
      <w:r>
        <w:rPr>
          <w:rFonts w:ascii="MinionPro-Regular" w:hAnsi="MinionPro-Regular"/>
          <w:sz w:val="24"/>
          <w:szCs w:val="24"/>
          <w:lang w:val="es-ES_tradnl"/>
        </w:rPr>
        <w:t>tes indispensables del mercado.</w:t>
      </w:r>
    </w:p>
    <w:p w:rsidR="00A414D2" w:rsidRPr="00A414D2" w:rsidRDefault="00B3663B" w:rsidP="00A414D2">
      <w:pPr>
        <w:pStyle w:val="Ttulo2"/>
        <w:rPr>
          <w:lang w:val="es-ES_tradnl"/>
        </w:rPr>
      </w:pPr>
      <w:bookmarkStart w:id="314" w:name="_Toc410916901"/>
      <w:r>
        <w:rPr>
          <w:lang w:val="es-ES_tradnl"/>
        </w:rPr>
        <w:t xml:space="preserve">Avanzar </w:t>
      </w:r>
      <w:r w:rsidR="00355237">
        <w:rPr>
          <w:lang w:val="es-ES_tradnl"/>
        </w:rPr>
        <w:t>en la c</w:t>
      </w:r>
      <w:r w:rsidR="00A414D2" w:rsidRPr="00A414D2">
        <w:rPr>
          <w:lang w:val="es-ES_tradnl"/>
        </w:rPr>
        <w:t>onvergencia salarial</w:t>
      </w:r>
      <w:bookmarkEnd w:id="314"/>
      <w:r w:rsidR="00A414D2" w:rsidRPr="00A414D2">
        <w:rPr>
          <w:lang w:val="es-ES_tradnl"/>
        </w:rPr>
        <w:t xml:space="preserve"> </w:t>
      </w:r>
    </w:p>
    <w:p w:rsidR="00A414D2" w:rsidRPr="00A414D2" w:rsidRDefault="00A414D2" w:rsidP="00A414D2">
      <w:pPr>
        <w:spacing w:line="360" w:lineRule="auto"/>
        <w:jc w:val="both"/>
        <w:rPr>
          <w:rFonts w:ascii="MinionPro-Regular" w:hAnsi="MinionPro-Regular"/>
          <w:b/>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equiparación salarial entre las personas con y sin discapacidad debe constituir uno de los principales objetivos del sector para asegurar que el acceso al mercado de trabajo mejora la vida de las personas con discapacidad. </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Esta convergencia salarial debería ir acompañada de una mejora de las cualificaciones de las personas con discapacidad</w:t>
      </w:r>
      <w:r w:rsidRPr="00D25FF2">
        <w:rPr>
          <w:rFonts w:ascii="MinionPro-Regular" w:hAnsi="MinionPro-Regular"/>
          <w:sz w:val="24"/>
          <w:szCs w:val="24"/>
          <w:lang w:val="es-ES_tradnl"/>
        </w:rPr>
        <w:t xml:space="preserve">. </w:t>
      </w:r>
      <w:r>
        <w:rPr>
          <w:rFonts w:ascii="MinionPro-Regular" w:hAnsi="MinionPro-Regular"/>
          <w:sz w:val="24"/>
          <w:szCs w:val="24"/>
          <w:lang w:val="es-ES_tradnl"/>
        </w:rPr>
        <w:t>En este sentido, las unidades de apoyo deberían desempeñar un papel fundamental. El foco debería ponerse en el desarrollo de planes de formación de calidad individualizados y adaptados a las particularidades en términos de empleabilidad de las personas, asegurando que la formación se ajusta también a las necesidades del mercado.</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También se debería trabajar para asegurar una mayor conexión entre las unidades de apoyo, las asociaciones sectoriales y los servicios públicos de empleo. Los centros especiales de empleo deben contar con servicios y profesionales específicamente adaptados a las necesidades de las personas con discapacidad. Los planes de formación deberían estar ajustados tanto a las necesidades de la persona como a las demandas y la evolución del mercado, y las unidades de apoyo deben ser herramientas no sólo para el bienestar de las personas con discapacidad sino también para su progresión y desarrollo profesional. Sobre todo, debe asegurarse que las unidades de apoyo cumplen con su propósito y responden verdaderamente a las necesidades de las personas con discapacidad. Por su parte, la administración pública y/o las asociaciones sectoriales deberían colaborar para ayudar al conjunto del sector de los centros especiales de empleo de Castilla y León a entender qué constituye una buena práctica en este ámbito.  </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Pr="00AA78B4"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cualquier caso, la formación y el desarrollo de las personas con discapacidad deberían constituir un objetivo claro y medible de los centros y constituir uno de los pilares explícitos de los programas de apoyo público.</w:t>
      </w:r>
    </w:p>
    <w:p w:rsidR="00A414D2" w:rsidRPr="00A414D2" w:rsidRDefault="00B3663B" w:rsidP="00A414D2">
      <w:pPr>
        <w:pStyle w:val="Ttulo2"/>
        <w:rPr>
          <w:lang w:val="es-ES_tradnl"/>
        </w:rPr>
      </w:pPr>
      <w:bookmarkStart w:id="315" w:name="_Toc410916902"/>
      <w:r>
        <w:rPr>
          <w:lang w:val="es-ES_tradnl"/>
        </w:rPr>
        <w:t>Evolución a sectores</w:t>
      </w:r>
      <w:r w:rsidR="00355237">
        <w:rPr>
          <w:lang w:val="es-ES_tradnl"/>
        </w:rPr>
        <w:t xml:space="preserve"> </w:t>
      </w:r>
      <w:r>
        <w:rPr>
          <w:lang w:val="es-ES_tradnl"/>
        </w:rPr>
        <w:t>de</w:t>
      </w:r>
      <w:r w:rsidR="00A414D2" w:rsidRPr="00A414D2">
        <w:rPr>
          <w:lang w:val="es-ES_tradnl"/>
        </w:rPr>
        <w:t xml:space="preserve"> actividad </w:t>
      </w:r>
      <w:r>
        <w:rPr>
          <w:lang w:val="es-ES_tradnl"/>
        </w:rPr>
        <w:t>con mayor valor añadido</w:t>
      </w:r>
      <w:bookmarkEnd w:id="315"/>
    </w:p>
    <w:p w:rsidR="00A414D2" w:rsidRPr="00A414D2" w:rsidRDefault="00A414D2" w:rsidP="00A414D2">
      <w:pPr>
        <w:spacing w:line="360" w:lineRule="auto"/>
        <w:jc w:val="both"/>
        <w:rPr>
          <w:rFonts w:ascii="MinionPro-Regular" w:hAnsi="MinionPro-Regular"/>
          <w:b/>
          <w:sz w:val="24"/>
          <w:szCs w:val="24"/>
          <w:lang w:val="es-ES_tradnl"/>
        </w:rPr>
      </w:pPr>
    </w:p>
    <w:p w:rsidR="00A414D2" w:rsidRDefault="00BC7035"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Al igual que para la práctica totalidad de las empresas españolas, l</w:t>
      </w:r>
      <w:r w:rsidR="00A414D2" w:rsidRPr="00E16A2D">
        <w:rPr>
          <w:rFonts w:ascii="MinionPro-Regular" w:hAnsi="MinionPro-Regular"/>
          <w:sz w:val="24"/>
          <w:szCs w:val="24"/>
          <w:lang w:val="es-ES_tradnl"/>
        </w:rPr>
        <w:t xml:space="preserve">a crisis económica </w:t>
      </w:r>
      <w:r w:rsidR="00A414D2">
        <w:rPr>
          <w:rFonts w:ascii="MinionPro-Regular" w:hAnsi="MinionPro-Regular"/>
          <w:sz w:val="24"/>
          <w:szCs w:val="24"/>
          <w:lang w:val="es-ES_tradnl"/>
        </w:rPr>
        <w:t xml:space="preserve">ha provocado dificultades para los centros especiales de empleo de Castilla y León. Muchas de estas dificultades son consecuencia, directa o indirecta, del sector de actividad </w:t>
      </w:r>
      <w:r w:rsidR="00355237">
        <w:rPr>
          <w:rFonts w:ascii="MinionPro-Regular" w:hAnsi="MinionPro-Regular"/>
          <w:sz w:val="24"/>
          <w:szCs w:val="24"/>
          <w:lang w:val="es-ES_tradnl"/>
        </w:rPr>
        <w:t>en el que operan</w:t>
      </w:r>
      <w:r w:rsidR="00A414D2">
        <w:rPr>
          <w:rFonts w:ascii="MinionPro-Regular" w:hAnsi="MinionPro-Regular"/>
          <w:sz w:val="24"/>
          <w:szCs w:val="24"/>
          <w:lang w:val="es-ES_tradnl"/>
        </w:rPr>
        <w:t xml:space="preserve">.  </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El presente estudio ha puesto de manifiesto </w:t>
      </w:r>
      <w:r w:rsidRPr="00A308D1">
        <w:rPr>
          <w:rFonts w:ascii="MinionPro-Regular" w:hAnsi="MinionPro-Regular"/>
          <w:sz w:val="24"/>
          <w:szCs w:val="24"/>
          <w:lang w:val="es-ES_tradnl"/>
        </w:rPr>
        <w:t xml:space="preserve">que la elección </w:t>
      </w:r>
      <w:r w:rsidR="00BC7035">
        <w:rPr>
          <w:rFonts w:ascii="MinionPro-Regular" w:hAnsi="MinionPro-Regular"/>
          <w:sz w:val="24"/>
          <w:szCs w:val="24"/>
          <w:lang w:val="es-ES_tradnl"/>
        </w:rPr>
        <w:t xml:space="preserve">del sector de actividad afecta a </w:t>
      </w:r>
      <w:r w:rsidRPr="00A308D1">
        <w:rPr>
          <w:rFonts w:ascii="MinionPro-Regular" w:hAnsi="MinionPro-Regular"/>
          <w:sz w:val="24"/>
          <w:szCs w:val="24"/>
          <w:lang w:val="es-ES_tradnl"/>
        </w:rPr>
        <w:t>la robustez y sostenibilidad de los centros e</w:t>
      </w:r>
      <w:r>
        <w:rPr>
          <w:rFonts w:ascii="MinionPro-Regular" w:hAnsi="MinionPro-Regular"/>
          <w:sz w:val="24"/>
          <w:szCs w:val="24"/>
          <w:lang w:val="es-ES_tradnl"/>
        </w:rPr>
        <w:t>speciales de empleo</w:t>
      </w:r>
      <w:r w:rsidRPr="00A308D1">
        <w:rPr>
          <w:rFonts w:ascii="MinionPro-Regular" w:hAnsi="MinionPro-Regular"/>
          <w:sz w:val="24"/>
          <w:szCs w:val="24"/>
          <w:lang w:val="es-ES_tradnl"/>
        </w:rPr>
        <w:t>. L</w:t>
      </w:r>
      <w:r>
        <w:rPr>
          <w:rFonts w:ascii="MinionPro-Regular" w:hAnsi="MinionPro-Regular"/>
          <w:sz w:val="24"/>
          <w:szCs w:val="24"/>
          <w:lang w:val="es-ES_tradnl"/>
        </w:rPr>
        <w:t xml:space="preserve">os sectores de actividad a los que se dedican los centros no siempre son los más aportadores de valor desde el punto de vista de su competitividad, valor añadido, potencial de generación de riqueza y potencial de exportación. </w:t>
      </w:r>
      <w:r w:rsidR="00355237">
        <w:rPr>
          <w:rFonts w:ascii="MinionPro-Regular" w:hAnsi="MinionPro-Regular"/>
          <w:sz w:val="24"/>
          <w:szCs w:val="24"/>
          <w:lang w:val="es-ES_tradnl"/>
        </w:rPr>
        <w:t>Los</w:t>
      </w:r>
      <w:r>
        <w:rPr>
          <w:rFonts w:ascii="MinionPro-Regular" w:hAnsi="MinionPro-Regular"/>
          <w:sz w:val="24"/>
          <w:szCs w:val="24"/>
          <w:lang w:val="es-ES_tradnl"/>
        </w:rPr>
        <w:t xml:space="preserve"> centros se muestran po</w:t>
      </w:r>
      <w:r w:rsidRPr="00D04607">
        <w:rPr>
          <w:rFonts w:ascii="MinionPro-Regular" w:hAnsi="MinionPro-Regular"/>
          <w:sz w:val="24"/>
          <w:szCs w:val="24"/>
          <w:lang w:val="es-ES_tradnl"/>
        </w:rPr>
        <w:t>co flexibles a la hora de decidir su actividad empresarial y vislumbrar nichos de mercado, centrándose</w:t>
      </w:r>
      <w:r>
        <w:rPr>
          <w:rFonts w:ascii="MinionPro-Regular" w:hAnsi="MinionPro-Regular"/>
          <w:sz w:val="24"/>
          <w:szCs w:val="24"/>
          <w:lang w:val="es-ES_tradnl"/>
        </w:rPr>
        <w:t xml:space="preserve"> demasiado en actividades empresariales</w:t>
      </w:r>
      <w:r w:rsidR="00355237">
        <w:rPr>
          <w:rFonts w:ascii="MinionPro-Regular" w:hAnsi="MinionPro-Regular"/>
          <w:sz w:val="24"/>
          <w:szCs w:val="24"/>
          <w:lang w:val="es-ES_tradnl"/>
        </w:rPr>
        <w:t xml:space="preserve"> </w:t>
      </w:r>
      <w:r>
        <w:rPr>
          <w:rFonts w:ascii="MinionPro-Regular" w:hAnsi="MinionPro-Regular"/>
          <w:sz w:val="24"/>
          <w:szCs w:val="24"/>
          <w:lang w:val="es-ES_tradnl"/>
        </w:rPr>
        <w:t xml:space="preserve">sin que se haya comprobado que éstas son las más idóneas para crear valor a través del empleo de personas con discapacidad. </w:t>
      </w:r>
    </w:p>
    <w:p w:rsidR="00A414D2" w:rsidRDefault="00A414D2" w:rsidP="00A414D2">
      <w:pPr>
        <w:autoSpaceDE w:val="0"/>
        <w:autoSpaceDN w:val="0"/>
        <w:spacing w:line="360" w:lineRule="auto"/>
        <w:jc w:val="both"/>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Los centros especiales de empleo de Castilla y León se enfrentan, de esta forma, a grandes preguntas sobre los sectores de actividad </w:t>
      </w:r>
      <w:r w:rsidR="00BC7035">
        <w:rPr>
          <w:rFonts w:ascii="MinionPro-Regular" w:hAnsi="MinionPro-Regular"/>
          <w:sz w:val="24"/>
          <w:szCs w:val="24"/>
          <w:lang w:val="es-ES_tradnl"/>
        </w:rPr>
        <w:t>en los que compiten</w:t>
      </w:r>
      <w:r>
        <w:rPr>
          <w:rFonts w:ascii="MinionPro-Regular" w:hAnsi="MinionPro-Regular"/>
          <w:sz w:val="24"/>
          <w:szCs w:val="24"/>
          <w:lang w:val="es-ES_tradnl"/>
        </w:rPr>
        <w:t xml:space="preserve">. La incertidumbre y las dificultades económicas deberían llevar a los centros a plantear una reflexión acerca de las actividades comerciales que desarrollan—algo que un número elevado de ellos ya están haciendo. Sería recomendable buscar vías que les permitiesen </w:t>
      </w:r>
      <w:r w:rsidR="00BC7035">
        <w:rPr>
          <w:rFonts w:ascii="MinionPro-Regular" w:hAnsi="MinionPro-Regular"/>
          <w:sz w:val="24"/>
          <w:szCs w:val="24"/>
          <w:lang w:val="es-ES_tradnl"/>
        </w:rPr>
        <w:t>buscar oportunidades, de manera individual y también conjunta,</w:t>
      </w:r>
      <w:r>
        <w:rPr>
          <w:rFonts w:ascii="MinionPro-Regular" w:hAnsi="MinionPro-Regular"/>
          <w:sz w:val="24"/>
          <w:szCs w:val="24"/>
          <w:lang w:val="es-ES_tradnl"/>
        </w:rPr>
        <w:t xml:space="preserve"> hacia sectores más generadores de valor </w:t>
      </w:r>
      <w:r w:rsidR="00BC7035">
        <w:rPr>
          <w:rFonts w:ascii="MinionPro-Regular" w:hAnsi="MinionPro-Regular"/>
          <w:sz w:val="24"/>
          <w:szCs w:val="24"/>
          <w:lang w:val="es-ES_tradnl"/>
        </w:rPr>
        <w:t>que permitan, entre otros, ofrecer mejores oportunidades de desarrollo</w:t>
      </w:r>
      <w:r>
        <w:rPr>
          <w:rFonts w:ascii="MinionPro-Regular" w:hAnsi="MinionPro-Regular"/>
          <w:sz w:val="24"/>
          <w:szCs w:val="24"/>
          <w:lang w:val="es-ES_tradnl"/>
        </w:rPr>
        <w:t>.</w:t>
      </w:r>
    </w:p>
    <w:p w:rsidR="00A414D2" w:rsidRPr="005525A7" w:rsidRDefault="00A414D2" w:rsidP="00A414D2">
      <w:pPr>
        <w:autoSpaceDE w:val="0"/>
        <w:autoSpaceDN w:val="0"/>
        <w:spacing w:line="360" w:lineRule="auto"/>
        <w:jc w:val="both"/>
      </w:pPr>
    </w:p>
    <w:p w:rsidR="00A414D2" w:rsidRDefault="00A414D2" w:rsidP="00A414D2">
      <w:pPr>
        <w:spacing w:line="360" w:lineRule="auto"/>
        <w:jc w:val="both"/>
        <w:rPr>
          <w:rFonts w:ascii="MinionPro-Regular" w:hAnsi="MinionPro-Regular"/>
          <w:sz w:val="24"/>
          <w:szCs w:val="24"/>
          <w:lang w:val="es-ES_tradnl"/>
        </w:rPr>
      </w:pPr>
      <w:r w:rsidRPr="00D04607">
        <w:rPr>
          <w:rFonts w:ascii="MinionPro-Regular" w:hAnsi="MinionPro-Regular"/>
          <w:sz w:val="24"/>
          <w:szCs w:val="24"/>
          <w:lang w:val="es-ES_tradnl"/>
        </w:rPr>
        <w:t xml:space="preserve">Se podría avanzar en esta dirección </w:t>
      </w:r>
      <w:r>
        <w:rPr>
          <w:rFonts w:ascii="MinionPro-Regular" w:hAnsi="MinionPro-Regular"/>
          <w:sz w:val="24"/>
          <w:szCs w:val="24"/>
          <w:lang w:val="es-ES_tradnl"/>
        </w:rPr>
        <w:t>apostando por un</w:t>
      </w:r>
      <w:r w:rsidRPr="00D04607">
        <w:rPr>
          <w:rFonts w:ascii="MinionPro-Regular" w:hAnsi="MinionPro-Regular"/>
          <w:sz w:val="24"/>
          <w:szCs w:val="24"/>
          <w:lang w:val="es-ES_tradnl"/>
        </w:rPr>
        <w:t xml:space="preserve"> acceso a mercados internacionales, a través de </w:t>
      </w:r>
      <w:r w:rsidR="00355237">
        <w:rPr>
          <w:rFonts w:ascii="MinionPro-Regular" w:hAnsi="MinionPro-Regular"/>
          <w:sz w:val="24"/>
          <w:szCs w:val="24"/>
          <w:lang w:val="es-ES_tradnl"/>
        </w:rPr>
        <w:t xml:space="preserve">la colaboración con compañías que operan en </w:t>
      </w:r>
      <w:r w:rsidRPr="00D04607">
        <w:rPr>
          <w:rFonts w:ascii="MinionPro-Regular" w:hAnsi="MinionPro-Regular"/>
          <w:sz w:val="24"/>
          <w:szCs w:val="24"/>
          <w:lang w:val="es-ES_tradnl"/>
        </w:rPr>
        <w:t>sectores punteros exportadores españoles</w:t>
      </w:r>
      <w:r w:rsidR="00355237">
        <w:rPr>
          <w:rFonts w:ascii="MinionPro-Regular" w:hAnsi="MinionPro-Regular"/>
          <w:sz w:val="24"/>
          <w:szCs w:val="24"/>
          <w:lang w:val="es-ES_tradnl"/>
        </w:rPr>
        <w:t>, como el auxiliar del automóvil</w:t>
      </w:r>
      <w:r w:rsidRPr="00D04607">
        <w:rPr>
          <w:rFonts w:ascii="MinionPro-Regular" w:hAnsi="MinionPro-Regular"/>
          <w:sz w:val="24"/>
          <w:szCs w:val="24"/>
          <w:lang w:val="es-ES_tradnl"/>
        </w:rPr>
        <w:t xml:space="preserve">. </w:t>
      </w:r>
      <w:r>
        <w:rPr>
          <w:rFonts w:ascii="MinionPro-Regular" w:hAnsi="MinionPro-Regular"/>
          <w:sz w:val="24"/>
          <w:szCs w:val="24"/>
          <w:lang w:val="es-ES_tradnl"/>
        </w:rPr>
        <w:t>También se podría a</w:t>
      </w:r>
      <w:r w:rsidRPr="00D04607">
        <w:rPr>
          <w:rFonts w:ascii="MinionPro-Regular" w:hAnsi="MinionPro-Regular"/>
          <w:sz w:val="24"/>
          <w:szCs w:val="24"/>
          <w:lang w:val="es-ES_tradnl"/>
        </w:rPr>
        <w:t xml:space="preserve">postar por </w:t>
      </w:r>
      <w:r>
        <w:rPr>
          <w:rFonts w:ascii="MinionPro-Regular" w:hAnsi="MinionPro-Regular"/>
          <w:sz w:val="24"/>
          <w:szCs w:val="24"/>
          <w:lang w:val="es-ES_tradnl"/>
        </w:rPr>
        <w:t xml:space="preserve">sectores de actividad nuevos, especialmente aquellos que prometen ser creadores de valor en los próximos años, como los </w:t>
      </w:r>
      <w:r w:rsidRPr="002604A2">
        <w:rPr>
          <w:rFonts w:ascii="MinionPro-Regular" w:hAnsi="MinionPro-Regular"/>
          <w:sz w:val="24"/>
          <w:szCs w:val="24"/>
          <w:lang w:val="es-ES_tradnl"/>
        </w:rPr>
        <w:t>blue jobs (nuevas tecnología</w:t>
      </w:r>
      <w:r>
        <w:rPr>
          <w:rFonts w:ascii="MinionPro-Regular" w:hAnsi="MinionPro-Regular"/>
          <w:sz w:val="24"/>
          <w:szCs w:val="24"/>
          <w:lang w:val="es-ES_tradnl"/>
        </w:rPr>
        <w:t xml:space="preserve">s), white jobs (biosanitarios) o </w:t>
      </w:r>
      <w:r w:rsidRPr="002604A2">
        <w:rPr>
          <w:rFonts w:ascii="MinionPro-Regular" w:hAnsi="MinionPro-Regular"/>
          <w:sz w:val="24"/>
          <w:szCs w:val="24"/>
          <w:lang w:val="es-ES_tradnl"/>
        </w:rPr>
        <w:t>green jobs (medio ambiente)</w:t>
      </w:r>
      <w:r>
        <w:rPr>
          <w:rFonts w:ascii="MinionPro-Regular" w:hAnsi="MinionPro-Regular"/>
          <w:sz w:val="24"/>
          <w:szCs w:val="24"/>
          <w:lang w:val="es-ES_tradnl"/>
        </w:rPr>
        <w:t xml:space="preserve">. </w:t>
      </w:r>
    </w:p>
    <w:p w:rsidR="00A414D2" w:rsidRPr="005525A7" w:rsidRDefault="00A414D2" w:rsidP="00A414D2">
      <w:pPr>
        <w:spacing w:line="360" w:lineRule="auto"/>
        <w:jc w:val="both"/>
        <w:rPr>
          <w:rFonts w:ascii="MinionPro-Regular" w:hAnsi="MinionPro-Regular"/>
          <w:sz w:val="24"/>
          <w:szCs w:val="24"/>
          <w:lang w:val="es-ES_tradnl"/>
        </w:rPr>
      </w:pPr>
    </w:p>
    <w:p w:rsidR="00A414D2" w:rsidRDefault="00A414D2" w:rsidP="00A414D2">
      <w:pPr>
        <w:spacing w:line="360" w:lineRule="auto"/>
        <w:jc w:val="both"/>
        <w:rPr>
          <w:rFonts w:ascii="MinionPro-Regular" w:hAnsi="MinionPro-Regular"/>
          <w:sz w:val="24"/>
          <w:szCs w:val="24"/>
          <w:lang w:val="es-ES_tradnl"/>
        </w:rPr>
      </w:pPr>
      <w:r w:rsidRPr="00B2116B">
        <w:rPr>
          <w:rFonts w:ascii="MinionPro-Regular" w:hAnsi="MinionPro-Regular"/>
          <w:sz w:val="24"/>
          <w:szCs w:val="24"/>
          <w:lang w:val="es-ES_tradnl"/>
        </w:rPr>
        <w:t xml:space="preserve">La </w:t>
      </w:r>
      <w:r w:rsidR="00355237">
        <w:rPr>
          <w:rFonts w:ascii="MinionPro-Regular" w:hAnsi="MinionPro-Regular"/>
          <w:sz w:val="24"/>
          <w:szCs w:val="24"/>
          <w:lang w:val="es-ES_tradnl"/>
        </w:rPr>
        <w:t>reflexión y el diálogo acerca</w:t>
      </w:r>
      <w:r w:rsidRPr="00B2116B">
        <w:rPr>
          <w:rFonts w:ascii="MinionPro-Regular" w:hAnsi="MinionPro-Regular"/>
          <w:sz w:val="24"/>
          <w:szCs w:val="24"/>
          <w:lang w:val="es-ES_tradnl"/>
        </w:rPr>
        <w:t xml:space="preserve"> del sector de actividad, que constituye un reto para los centros</w:t>
      </w:r>
      <w:r>
        <w:rPr>
          <w:rFonts w:ascii="MinionPro-Regular" w:hAnsi="MinionPro-Regular"/>
          <w:sz w:val="24"/>
          <w:szCs w:val="24"/>
          <w:lang w:val="es-ES_tradnl"/>
        </w:rPr>
        <w:t xml:space="preserve">, </w:t>
      </w:r>
      <w:r w:rsidRPr="00B2116B">
        <w:rPr>
          <w:rFonts w:ascii="MinionPro-Regular" w:hAnsi="MinionPro-Regular"/>
          <w:sz w:val="24"/>
          <w:szCs w:val="24"/>
          <w:lang w:val="es-ES_tradnl"/>
        </w:rPr>
        <w:t xml:space="preserve">podría abordarse a través de las plataformas y colaboraciones sectoriales. </w:t>
      </w:r>
      <w:r w:rsidR="00BC7035">
        <w:rPr>
          <w:rFonts w:ascii="MinionPro-Regular" w:hAnsi="MinionPro-Regular"/>
          <w:sz w:val="24"/>
          <w:szCs w:val="24"/>
          <w:lang w:val="es-ES_tradnl"/>
        </w:rPr>
        <w:t>É</w:t>
      </w:r>
      <w:r>
        <w:rPr>
          <w:rFonts w:ascii="MinionPro-Regular" w:hAnsi="MinionPro-Regular"/>
          <w:sz w:val="24"/>
          <w:szCs w:val="24"/>
          <w:lang w:val="es-ES_tradnl"/>
        </w:rPr>
        <w:t>stas también podrían servir para otorgar un reconocimiento</w:t>
      </w:r>
      <w:r w:rsidRPr="006E32E5">
        <w:rPr>
          <w:rFonts w:ascii="MinionPro-Regular" w:hAnsi="MinionPro-Regular"/>
          <w:sz w:val="24"/>
          <w:szCs w:val="24"/>
          <w:lang w:val="es-ES_tradnl"/>
        </w:rPr>
        <w:t xml:space="preserve"> a aquellos centros</w:t>
      </w:r>
      <w:r>
        <w:rPr>
          <w:rFonts w:ascii="MinionPro-Regular" w:hAnsi="MinionPro-Regular"/>
          <w:sz w:val="24"/>
          <w:szCs w:val="24"/>
          <w:lang w:val="es-ES_tradnl"/>
        </w:rPr>
        <w:t xml:space="preserve"> que actúa</w:t>
      </w:r>
      <w:r w:rsidRPr="006E32E5">
        <w:rPr>
          <w:rFonts w:ascii="MinionPro-Regular" w:hAnsi="MinionPro-Regular"/>
          <w:sz w:val="24"/>
          <w:szCs w:val="24"/>
          <w:lang w:val="es-ES_tradnl"/>
        </w:rPr>
        <w:t>n en sectores punteros o de alto potencial de crecimiento.</w:t>
      </w:r>
    </w:p>
    <w:p w:rsidR="00A414D2" w:rsidRPr="006E32E5" w:rsidRDefault="00A414D2" w:rsidP="00A414D2">
      <w:pPr>
        <w:spacing w:line="360" w:lineRule="auto"/>
        <w:jc w:val="both"/>
        <w:rPr>
          <w:rFonts w:ascii="MinionPro-Regular" w:hAnsi="MinionPro-Regular"/>
          <w:sz w:val="24"/>
          <w:szCs w:val="24"/>
          <w:lang w:val="es-ES_tradnl"/>
        </w:rPr>
      </w:pPr>
    </w:p>
    <w:p w:rsidR="00A414D2" w:rsidRDefault="004B48CA" w:rsidP="00A414D2">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T</w:t>
      </w:r>
      <w:r w:rsidR="00A414D2" w:rsidRPr="00B2116B">
        <w:rPr>
          <w:rFonts w:ascii="MinionPro-Regular" w:hAnsi="MinionPro-Regular"/>
          <w:sz w:val="24"/>
          <w:szCs w:val="24"/>
          <w:lang w:val="es-ES_tradnl"/>
        </w:rPr>
        <w:t xml:space="preserve">ambién sería recomendable que los gestores o directivos de cada centro desarrollasen planes de viabilidad. Así, según el caso, quizás sería conveniente que los centros utilizasen análisis de expertos o técnicos para guiar, de una manera fundamentada, su </w:t>
      </w:r>
      <w:r w:rsidR="00355237">
        <w:rPr>
          <w:rFonts w:ascii="MinionPro-Regular" w:hAnsi="MinionPro-Regular"/>
          <w:sz w:val="24"/>
          <w:szCs w:val="24"/>
          <w:lang w:val="es-ES_tradnl"/>
        </w:rPr>
        <w:t>identificación de oportunidades</w:t>
      </w:r>
      <w:r w:rsidR="00A414D2" w:rsidRPr="00B2116B">
        <w:rPr>
          <w:rFonts w:ascii="MinionPro-Regular" w:hAnsi="MinionPro-Regular"/>
          <w:sz w:val="24"/>
          <w:szCs w:val="24"/>
          <w:lang w:val="es-ES_tradnl"/>
        </w:rPr>
        <w:t xml:space="preserve">. Estos análisis podrían indicarles, por ejemplo, hacia dónde </w:t>
      </w:r>
      <w:r w:rsidR="00355237">
        <w:rPr>
          <w:rFonts w:ascii="MinionPro-Regular" w:hAnsi="MinionPro-Regular"/>
          <w:sz w:val="24"/>
          <w:szCs w:val="24"/>
          <w:lang w:val="es-ES_tradnl"/>
        </w:rPr>
        <w:t>orientar</w:t>
      </w:r>
      <w:r w:rsidR="00A414D2" w:rsidRPr="00B2116B">
        <w:rPr>
          <w:rFonts w:ascii="MinionPro-Regular" w:hAnsi="MinionPro-Regular"/>
          <w:sz w:val="24"/>
          <w:szCs w:val="24"/>
          <w:lang w:val="es-ES_tradnl"/>
        </w:rPr>
        <w:t xml:space="preserve"> su crecimiento.</w:t>
      </w:r>
    </w:p>
    <w:p w:rsidR="00A414D2" w:rsidRPr="00B2116B" w:rsidRDefault="00A414D2" w:rsidP="00A414D2">
      <w:pPr>
        <w:spacing w:line="360" w:lineRule="auto"/>
        <w:jc w:val="both"/>
        <w:rPr>
          <w:rFonts w:ascii="MinionPro-Regular" w:hAnsi="MinionPro-Regular"/>
          <w:sz w:val="24"/>
          <w:szCs w:val="24"/>
          <w:lang w:val="es-ES_tradnl"/>
        </w:rPr>
      </w:pPr>
    </w:p>
    <w:p w:rsidR="00A414D2" w:rsidRPr="00A414D2" w:rsidRDefault="00A414D2" w:rsidP="00A414D2">
      <w:pPr>
        <w:spacing w:line="360" w:lineRule="auto"/>
        <w:jc w:val="both"/>
        <w:rPr>
          <w:rFonts w:ascii="MinionPro-Regular" w:hAnsi="MinionPro-Regular"/>
          <w:sz w:val="24"/>
          <w:szCs w:val="24"/>
          <w:lang w:val="es-ES_tradnl"/>
        </w:rPr>
      </w:pPr>
      <w:r>
        <w:rPr>
          <w:rFonts w:ascii="MinionPro-Regular" w:hAnsi="MinionPro-Regular"/>
          <w:sz w:val="24"/>
          <w:szCs w:val="24"/>
          <w:lang w:val="es-ES_tradnl"/>
        </w:rPr>
        <w:t>Es imprescindible que los centros especiales de e</w:t>
      </w:r>
      <w:r w:rsidRPr="006E32E5">
        <w:rPr>
          <w:rFonts w:ascii="MinionPro-Regular" w:hAnsi="MinionPro-Regular"/>
          <w:sz w:val="24"/>
          <w:szCs w:val="24"/>
          <w:lang w:val="es-ES_tradnl"/>
        </w:rPr>
        <w:t>mpleo d</w:t>
      </w:r>
      <w:r>
        <w:rPr>
          <w:rFonts w:ascii="MinionPro-Regular" w:hAnsi="MinionPro-Regular"/>
          <w:sz w:val="24"/>
          <w:szCs w:val="24"/>
          <w:lang w:val="es-ES_tradnl"/>
        </w:rPr>
        <w:t xml:space="preserve">en pasos en esta dirección </w:t>
      </w:r>
      <w:r w:rsidRPr="006E32E5">
        <w:rPr>
          <w:rFonts w:ascii="MinionPro-Regular" w:hAnsi="MinionPro-Regular"/>
          <w:sz w:val="24"/>
          <w:szCs w:val="24"/>
          <w:lang w:val="es-ES_tradnl"/>
        </w:rPr>
        <w:t>para poder asegurar su supervivencia en el largo plazo.</w:t>
      </w:r>
      <w:r>
        <w:rPr>
          <w:rFonts w:ascii="MinionPro-Regular" w:hAnsi="MinionPro-Regular"/>
          <w:sz w:val="24"/>
          <w:szCs w:val="24"/>
          <w:lang w:val="es-ES_tradnl"/>
        </w:rPr>
        <w:t xml:space="preserve"> C</w:t>
      </w:r>
      <w:r w:rsidRPr="006E32E5">
        <w:rPr>
          <w:rFonts w:ascii="MinionPro-Regular" w:hAnsi="MinionPro-Regular"/>
          <w:sz w:val="24"/>
          <w:szCs w:val="24"/>
          <w:lang w:val="es-ES_tradnl"/>
        </w:rPr>
        <w:t xml:space="preserve">abe recordar que la competitividad es un valor inherente a la sostenibilidad de los centros especiales de empleo. </w:t>
      </w:r>
      <w:r>
        <w:rPr>
          <w:rFonts w:ascii="MinionPro-Regular" w:hAnsi="MinionPro-Regular"/>
          <w:sz w:val="24"/>
          <w:szCs w:val="24"/>
          <w:lang w:val="es-ES_tradnl"/>
        </w:rPr>
        <w:t>También es importante recordar que l</w:t>
      </w:r>
      <w:r w:rsidRPr="006E32E5">
        <w:rPr>
          <w:rFonts w:ascii="MinionPro-Regular" w:hAnsi="MinionPro-Regular"/>
          <w:sz w:val="24"/>
          <w:szCs w:val="24"/>
          <w:lang w:val="es-ES_tradnl"/>
        </w:rPr>
        <w:t>a búsqueda de la viabilidad y la competitividad económica no debe</w:t>
      </w:r>
      <w:r>
        <w:rPr>
          <w:rFonts w:ascii="MinionPro-Regular" w:hAnsi="MinionPro-Regular"/>
          <w:sz w:val="24"/>
          <w:szCs w:val="24"/>
          <w:lang w:val="es-ES_tradnl"/>
        </w:rPr>
        <w:t>n</w:t>
      </w:r>
      <w:r w:rsidRPr="006E32E5">
        <w:rPr>
          <w:rFonts w:ascii="MinionPro-Regular" w:hAnsi="MinionPro-Regular"/>
          <w:sz w:val="24"/>
          <w:szCs w:val="24"/>
          <w:lang w:val="es-ES_tradnl"/>
        </w:rPr>
        <w:t xml:space="preserve"> entenderse como un objetivo distinto del objetivo primordialmente social de los centros de crear empleo para las personas con discapacidad. La integración de las personas con discapacidad en el mercado laboral sólo es posible si se construye un modelo de empresa viable. En este sentido, la búsqueda de sectores competitivos es un paso obligado para los centros de cara a garantizar la consecución de su objetivo social. </w:t>
      </w:r>
    </w:p>
    <w:p w:rsidR="00A414D2" w:rsidRPr="00A414D2" w:rsidRDefault="00A414D2" w:rsidP="00A414D2">
      <w:pPr>
        <w:pStyle w:val="Ttulo2"/>
        <w:rPr>
          <w:lang w:val="es-ES_tradnl"/>
        </w:rPr>
      </w:pPr>
      <w:bookmarkStart w:id="316" w:name="_Toc410916903"/>
      <w:r w:rsidRPr="00A414D2">
        <w:rPr>
          <w:lang w:val="es-ES_tradnl"/>
        </w:rPr>
        <w:t xml:space="preserve">Un marco de ayudas </w:t>
      </w:r>
      <w:r w:rsidR="00355237">
        <w:rPr>
          <w:lang w:val="es-ES_tradnl"/>
        </w:rPr>
        <w:t>incentivador</w:t>
      </w:r>
      <w:bookmarkEnd w:id="316"/>
      <w:r w:rsidRPr="00A414D2">
        <w:rPr>
          <w:lang w:val="es-ES_tradnl"/>
        </w:rPr>
        <w:t xml:space="preserve"> </w:t>
      </w:r>
    </w:p>
    <w:p w:rsidR="00A414D2" w:rsidRPr="00A414D2" w:rsidRDefault="00A414D2" w:rsidP="00A414D2">
      <w:pPr>
        <w:spacing w:line="360" w:lineRule="auto"/>
        <w:jc w:val="both"/>
        <w:rPr>
          <w:rFonts w:ascii="MinionPro-Regular" w:hAnsi="MinionPro-Regular"/>
          <w:b/>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 xml:space="preserve">La creación de un sistema de ayudas más eficiente y sostenible pasa por reorientar, de manera </w:t>
      </w:r>
      <w:r w:rsidRPr="001B6F65">
        <w:rPr>
          <w:rFonts w:ascii="MinionPro-Regular" w:hAnsi="MinionPro-Regular"/>
          <w:sz w:val="24"/>
          <w:szCs w:val="24"/>
          <w:lang w:val="es-ES_tradnl"/>
        </w:rPr>
        <w:t>progresiva, el apoyo público a los centros teniendo en cuenta su c</w:t>
      </w:r>
      <w:r>
        <w:rPr>
          <w:rFonts w:ascii="MinionPro-Regular" w:hAnsi="MinionPro-Regular"/>
          <w:sz w:val="24"/>
          <w:szCs w:val="24"/>
          <w:lang w:val="es-ES_tradnl"/>
        </w:rPr>
        <w:t>ompetitividad, impacto social y el fomento de la empleabilidad de las personas con discapacidad.</w:t>
      </w:r>
    </w:p>
    <w:p w:rsidR="00695F1A" w:rsidRDefault="00695F1A" w:rsidP="00A414D2">
      <w:pPr>
        <w:autoSpaceDE w:val="0"/>
        <w:autoSpaceDN w:val="0"/>
        <w:spacing w:line="360" w:lineRule="auto"/>
        <w:jc w:val="both"/>
        <w:rPr>
          <w:rFonts w:ascii="MinionPro-Regular" w:hAnsi="MinionPro-Regular"/>
          <w:sz w:val="24"/>
          <w:szCs w:val="24"/>
          <w:lang w:val="es-ES_tradnl"/>
        </w:rPr>
      </w:pPr>
    </w:p>
    <w:p w:rsidR="00695F1A" w:rsidRPr="00695F1A" w:rsidRDefault="00695F1A" w:rsidP="00A414D2">
      <w:pPr>
        <w:autoSpaceDE w:val="0"/>
        <w:autoSpaceDN w:val="0"/>
        <w:spacing w:line="360" w:lineRule="auto"/>
        <w:jc w:val="both"/>
        <w:rPr>
          <w:rFonts w:ascii="MinionPro-Regular" w:hAnsi="MinionPro-Regular"/>
          <w:sz w:val="24"/>
          <w:szCs w:val="24"/>
          <w:lang w:val="es-ES_tradnl"/>
        </w:rPr>
      </w:pPr>
      <w:r w:rsidRPr="00695F1A">
        <w:rPr>
          <w:rFonts w:ascii="MinionPro-Regular" w:hAnsi="MinionPro-Regular"/>
          <w:sz w:val="24"/>
          <w:szCs w:val="24"/>
          <w:lang w:val="es-ES_tradnl"/>
        </w:rPr>
        <w:t xml:space="preserve">Si uno de los objetivos principales de los centros especiales de empleo es incorporar al mercado laboral a personas con mayores dificultades para su inclusión laboral y que sufren, en mayor medida, situaciones de discriminación social y laboral, el esquema de ayudas públicas debería moverse también en esa dirección, incentivando, en mayor medida, a aquellos que apuesten por contratación de personas estas características. De la misma forma, el marco de ayudas también debería tener en cuenta aspectos relativos a la competitividad y al fomento de la empleabilidad de los trabajadores. </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1D1AE6" w:rsidRDefault="00E843ED"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La normativa vigente ya pone de manifiesto la necesidad de graduar las ayudas tradicionales a los CEEs. En concreto, el Artículo 10 del Real Decreto 2273/1985, por el que se aprueba el Reglamento de Centros Especiales de Empleo,</w:t>
      </w:r>
      <w:r w:rsidR="001D1AE6">
        <w:rPr>
          <w:rFonts w:ascii="MinionPro-Regular" w:hAnsi="MinionPro-Regular"/>
          <w:sz w:val="24"/>
          <w:szCs w:val="24"/>
          <w:lang w:val="es-ES_tradnl"/>
        </w:rPr>
        <w:t xml:space="preserve"> </w:t>
      </w:r>
      <w:r>
        <w:rPr>
          <w:rFonts w:ascii="MinionPro-Regular" w:hAnsi="MinionPro-Regular"/>
          <w:sz w:val="24"/>
          <w:szCs w:val="24"/>
          <w:lang w:val="es-ES_tradnl"/>
        </w:rPr>
        <w:t>indica que “</w:t>
      </w:r>
      <w:r w:rsidR="001D1AE6">
        <w:rPr>
          <w:rFonts w:ascii="MinionPro-Regular" w:hAnsi="MinionPro-Regular"/>
          <w:sz w:val="24"/>
          <w:szCs w:val="24"/>
          <w:lang w:val="es-ES_tradnl"/>
        </w:rPr>
        <w:t>l</w:t>
      </w:r>
      <w:r w:rsidR="00CB0A1F">
        <w:rPr>
          <w:rFonts w:ascii="MinionPro-Regular" w:hAnsi="MinionPro-Regular"/>
          <w:sz w:val="24"/>
          <w:szCs w:val="24"/>
          <w:lang w:val="es-ES_tradnl"/>
        </w:rPr>
        <w:t>as ayudas de los apa</w:t>
      </w:r>
      <w:r>
        <w:rPr>
          <w:rFonts w:ascii="MinionPro-Regular" w:hAnsi="MinionPro-Regular"/>
          <w:sz w:val="24"/>
          <w:szCs w:val="24"/>
          <w:lang w:val="es-ES_tradnl"/>
        </w:rPr>
        <w:t>rtados d) y e) (Ayudas al mantenimiento y creación de empleo en CEEs) se graduarán en función de la rentabilidad económica y social del Centro (…).”</w:t>
      </w:r>
      <w:r w:rsidR="001D1AE6">
        <w:rPr>
          <w:rFonts w:ascii="MinionPro-Regular" w:hAnsi="MinionPro-Regular"/>
          <w:sz w:val="24"/>
          <w:szCs w:val="24"/>
          <w:lang w:val="es-ES_tradnl"/>
        </w:rPr>
        <w:t xml:space="preserve"> El marco de ayudas, por tanto, ha de profundizar en esta labor. </w:t>
      </w:r>
    </w:p>
    <w:p w:rsidR="00E843ED" w:rsidRPr="00B60991" w:rsidRDefault="00E843ED" w:rsidP="00A414D2">
      <w:pPr>
        <w:autoSpaceDE w:val="0"/>
        <w:autoSpaceDN w:val="0"/>
        <w:spacing w:line="360" w:lineRule="auto"/>
        <w:jc w:val="both"/>
        <w:rPr>
          <w:rFonts w:ascii="MinionPro-Regular" w:hAnsi="MinionPro-Regular"/>
          <w:sz w:val="24"/>
          <w:szCs w:val="24"/>
          <w:lang w:val="es-ES_tradnl"/>
        </w:rPr>
      </w:pPr>
    </w:p>
    <w:p w:rsidR="00A414D2" w:rsidRP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Por último, las ayudas deberían también estimular la innovación y la eficiencia, estableciendo incentivos a la modernización, a la profesionalización y, en definitiva, a aquellas iniciativas orientadas a robustecer y hacer más competitivos a los centros.</w:t>
      </w:r>
    </w:p>
    <w:p w:rsidR="00A414D2" w:rsidRPr="00A414D2" w:rsidRDefault="00B3663B" w:rsidP="00A414D2">
      <w:pPr>
        <w:pStyle w:val="Ttulo2"/>
        <w:rPr>
          <w:lang w:val="es-ES_tradnl"/>
        </w:rPr>
      </w:pPr>
      <w:bookmarkStart w:id="317" w:name="_Toc410916904"/>
      <w:r>
        <w:rPr>
          <w:lang w:val="es-ES_tradnl"/>
        </w:rPr>
        <w:t>Identificar mecanismos que aseguren el retorno</w:t>
      </w:r>
      <w:r w:rsidR="00A414D2" w:rsidRPr="00A414D2">
        <w:rPr>
          <w:lang w:val="es-ES_tradnl"/>
        </w:rPr>
        <w:t xml:space="preserve"> de los beneficio</w:t>
      </w:r>
      <w:r>
        <w:rPr>
          <w:lang w:val="es-ES_tradnl"/>
        </w:rPr>
        <w:t>s</w:t>
      </w:r>
      <w:r w:rsidR="00A414D2" w:rsidRPr="00A414D2">
        <w:rPr>
          <w:lang w:val="es-ES_tradnl"/>
        </w:rPr>
        <w:t xml:space="preserve"> al propio centro</w:t>
      </w:r>
      <w:bookmarkEnd w:id="317"/>
    </w:p>
    <w:p w:rsidR="00A414D2" w:rsidRPr="00A414D2" w:rsidRDefault="00A414D2" w:rsidP="00A414D2">
      <w:pPr>
        <w:spacing w:line="360" w:lineRule="auto"/>
        <w:jc w:val="both"/>
        <w:rPr>
          <w:rFonts w:ascii="MinionPro-Regular" w:hAnsi="MinionPro-Regular"/>
          <w:b/>
          <w:sz w:val="24"/>
          <w:szCs w:val="24"/>
          <w:lang w:val="es-ES_tradnl"/>
        </w:rPr>
      </w:pPr>
    </w:p>
    <w:p w:rsidR="00A414D2" w:rsidRDefault="00A414D2" w:rsidP="00A414D2">
      <w:pPr>
        <w:autoSpaceDE w:val="0"/>
        <w:autoSpaceDN w:val="0"/>
        <w:spacing w:line="360" w:lineRule="auto"/>
        <w:jc w:val="both"/>
        <w:rPr>
          <w:rFonts w:ascii="MinionPro-Regular" w:hAnsi="MinionPro-Regular"/>
          <w:sz w:val="24"/>
          <w:szCs w:val="24"/>
          <w:lang w:val="es-ES_tradnl"/>
        </w:rPr>
      </w:pPr>
      <w:r>
        <w:rPr>
          <w:rFonts w:ascii="MinionPro-Regular" w:hAnsi="MinionPro-Regular"/>
          <w:sz w:val="24"/>
          <w:szCs w:val="24"/>
          <w:lang w:val="es-ES_tradnl"/>
        </w:rPr>
        <w:t>En lo que se refiere a los beneficios</w:t>
      </w:r>
      <w:r w:rsidR="004B48CA">
        <w:rPr>
          <w:rFonts w:ascii="MinionPro-Regular" w:hAnsi="MinionPro-Regular"/>
          <w:sz w:val="24"/>
          <w:szCs w:val="24"/>
          <w:lang w:val="es-ES_tradnl"/>
        </w:rPr>
        <w:t xml:space="preserve"> resultados de la actividad económica de los centros</w:t>
      </w:r>
      <w:r>
        <w:rPr>
          <w:rFonts w:ascii="MinionPro-Regular" w:hAnsi="MinionPro-Regular"/>
          <w:sz w:val="24"/>
          <w:szCs w:val="24"/>
          <w:lang w:val="es-ES_tradnl"/>
        </w:rPr>
        <w:t>, quizá sería deseable establecer mecanismos que aseguren que éstos retornan</w:t>
      </w:r>
      <w:r w:rsidR="00355237">
        <w:rPr>
          <w:rFonts w:ascii="MinionPro-Regular" w:hAnsi="MinionPro-Regular"/>
          <w:sz w:val="24"/>
          <w:szCs w:val="24"/>
          <w:lang w:val="es-ES_tradnl"/>
        </w:rPr>
        <w:t>, en parte,</w:t>
      </w:r>
      <w:r>
        <w:rPr>
          <w:rFonts w:ascii="MinionPro-Regular" w:hAnsi="MinionPro-Regular"/>
          <w:sz w:val="24"/>
          <w:szCs w:val="24"/>
          <w:lang w:val="es-ES_tradnl"/>
        </w:rPr>
        <w:t xml:space="preserve"> al propio centro en el caso de aquellos que reciben ayudas públicas.</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42498F" w:rsidRDefault="00A414D2" w:rsidP="00A414D2">
      <w:pPr>
        <w:autoSpaceDE w:val="0"/>
        <w:autoSpaceDN w:val="0"/>
        <w:spacing w:line="360" w:lineRule="auto"/>
        <w:jc w:val="both"/>
        <w:rPr>
          <w:rFonts w:ascii="MinionPro-Regular" w:hAnsi="MinionPro-Regular"/>
          <w:sz w:val="24"/>
          <w:szCs w:val="24"/>
          <w:lang w:val="es-ES_tradnl"/>
        </w:rPr>
      </w:pPr>
      <w:r w:rsidRPr="001B6F65">
        <w:rPr>
          <w:rFonts w:ascii="MinionPro-Regular" w:hAnsi="MinionPro-Regular"/>
          <w:sz w:val="24"/>
          <w:szCs w:val="24"/>
          <w:lang w:val="es-ES_tradnl"/>
        </w:rPr>
        <w:t xml:space="preserve">Como empresas sociales, los centros especiales de empleo deberían trabajar sobre los requisitos que establece la normativa europea en relación </w:t>
      </w:r>
      <w:r w:rsidR="0042498F" w:rsidRPr="0042498F">
        <w:rPr>
          <w:rFonts w:ascii="MinionPro-Regular" w:hAnsi="MinionPro-Regular"/>
          <w:sz w:val="24"/>
          <w:szCs w:val="24"/>
          <w:lang w:val="es-ES_tradnl"/>
        </w:rPr>
        <w:t>a la reinversión de los beneficios de la actividad en la mejora de la empleabilidad de las personas con discapacidad</w:t>
      </w:r>
      <w:r w:rsidR="0042498F">
        <w:rPr>
          <w:rFonts w:ascii="MinionPro-Regular" w:hAnsi="MinionPro-Regular"/>
          <w:sz w:val="24"/>
          <w:szCs w:val="24"/>
          <w:lang w:val="es-ES_tradnl"/>
        </w:rPr>
        <w:t xml:space="preserve"> y el empleo de las mismas, facilitando también la búsqueda de ayudas asociadas a su </w:t>
      </w:r>
      <w:r w:rsidR="005E7537">
        <w:rPr>
          <w:rFonts w:ascii="MinionPro-Regular" w:hAnsi="MinionPro-Regular"/>
          <w:sz w:val="24"/>
          <w:szCs w:val="24"/>
          <w:lang w:val="es-ES_tradnl"/>
        </w:rPr>
        <w:t>condición de empresas sociales.</w:t>
      </w:r>
    </w:p>
    <w:p w:rsidR="00A414D2" w:rsidRDefault="00A414D2" w:rsidP="00A414D2">
      <w:pPr>
        <w:autoSpaceDE w:val="0"/>
        <w:autoSpaceDN w:val="0"/>
        <w:spacing w:line="360" w:lineRule="auto"/>
        <w:jc w:val="both"/>
        <w:rPr>
          <w:rFonts w:ascii="MinionPro-Regular" w:hAnsi="MinionPro-Regular"/>
          <w:sz w:val="24"/>
          <w:szCs w:val="24"/>
          <w:lang w:val="es-ES_tradnl"/>
        </w:rPr>
      </w:pPr>
    </w:p>
    <w:p w:rsidR="003654E5" w:rsidRPr="00231DCD" w:rsidRDefault="003654E5" w:rsidP="00A414D2">
      <w:pPr>
        <w:autoSpaceDE w:val="0"/>
        <w:autoSpaceDN w:val="0"/>
        <w:spacing w:line="360" w:lineRule="auto"/>
        <w:jc w:val="both"/>
        <w:rPr>
          <w:rFonts w:ascii="MinionPro-Regular" w:hAnsi="MinionPro-Regular"/>
          <w:sz w:val="24"/>
          <w:szCs w:val="24"/>
          <w:lang w:val="es-ES_tradnl"/>
        </w:rPr>
      </w:pPr>
      <w:bookmarkStart w:id="318" w:name="_Toc351665116"/>
      <w:bookmarkStart w:id="319" w:name="_Toc351665136"/>
      <w:bookmarkStart w:id="320" w:name="_Toc351665140"/>
      <w:bookmarkStart w:id="321" w:name="_Toc351665147"/>
      <w:bookmarkStart w:id="322" w:name="_Toc351665148"/>
      <w:bookmarkEnd w:id="303"/>
      <w:bookmarkEnd w:id="304"/>
      <w:bookmarkEnd w:id="318"/>
      <w:bookmarkEnd w:id="319"/>
      <w:bookmarkEnd w:id="320"/>
      <w:bookmarkEnd w:id="321"/>
      <w:bookmarkEnd w:id="322"/>
    </w:p>
    <w:p w:rsidR="00783F04" w:rsidRDefault="00783F04" w:rsidP="005314FA">
      <w:pPr>
        <w:pStyle w:val="Ttulo1"/>
        <w:rPr>
          <w:lang w:val="es-ES_tradnl"/>
        </w:rPr>
      </w:pPr>
      <w:bookmarkStart w:id="323" w:name="_Toc410916905"/>
      <w:r>
        <w:rPr>
          <w:lang w:val="es-ES_tradnl"/>
        </w:rPr>
        <w:t xml:space="preserve">Anexo I: </w:t>
      </w:r>
      <w:r w:rsidR="000F2C9E">
        <w:rPr>
          <w:lang w:val="es-ES_tradnl"/>
        </w:rPr>
        <w:t xml:space="preserve">Análisis de dos </w:t>
      </w:r>
      <w:r w:rsidR="00A95742">
        <w:rPr>
          <w:lang w:val="es-ES_tradnl"/>
        </w:rPr>
        <w:t>Centros Especiales de Empleo</w:t>
      </w:r>
      <w:r w:rsidR="000F2C9E">
        <w:rPr>
          <w:lang w:val="es-ES_tradnl"/>
        </w:rPr>
        <w:t xml:space="preserve"> ejemplares y comparativa sectorial</w:t>
      </w:r>
      <w:r>
        <w:rPr>
          <w:lang w:val="es-ES_tradnl"/>
        </w:rPr>
        <w:t xml:space="preserve"> de INFORMA</w:t>
      </w:r>
      <w:bookmarkEnd w:id="323"/>
    </w:p>
    <w:p w:rsidR="005B2F3D" w:rsidRDefault="008B316C" w:rsidP="005B2F3D">
      <w:pPr>
        <w:pStyle w:val="Ttulo2"/>
        <w:rPr>
          <w:lang w:val="es-ES_tradnl"/>
        </w:rPr>
      </w:pPr>
      <w:bookmarkStart w:id="324" w:name="_Toc410916906"/>
      <w:r>
        <w:rPr>
          <w:lang w:val="es-ES_tradnl"/>
        </w:rPr>
        <w:t>Centro A</w:t>
      </w:r>
      <w:r w:rsidR="005B2F3D">
        <w:rPr>
          <w:lang w:val="es-ES_tradnl"/>
        </w:rPr>
        <w:t xml:space="preserve"> (el nombre real se omite para proteger la confidencialidad de los </w:t>
      </w:r>
      <w:r w:rsidR="00355237">
        <w:rPr>
          <w:lang w:val="es-ES_tradnl"/>
        </w:rPr>
        <w:t>datos</w:t>
      </w:r>
      <w:r w:rsidR="005B2F3D">
        <w:rPr>
          <w:lang w:val="es-ES_tradnl"/>
        </w:rPr>
        <w:t>)</w:t>
      </w:r>
      <w:bookmarkEnd w:id="324"/>
    </w:p>
    <w:p w:rsidR="005B2F3D" w:rsidRPr="005B2F3D" w:rsidRDefault="005B2F3D" w:rsidP="005B2F3D">
      <w:pPr>
        <w:pStyle w:val="Textoindependiente"/>
        <w:rPr>
          <w:lang w:val="es-ES_tradnl"/>
        </w:rPr>
      </w:pPr>
    </w:p>
    <w:p w:rsidR="008B316C" w:rsidRPr="005B2F3D" w:rsidRDefault="005B2F3D" w:rsidP="005B2F3D">
      <w:pPr>
        <w:pStyle w:val="Textoindependiente"/>
        <w:spacing w:before="0" w:after="0" w:line="360" w:lineRule="auto"/>
        <w:rPr>
          <w:sz w:val="24"/>
          <w:szCs w:val="24"/>
          <w:lang w:val="es-ES_tradnl"/>
        </w:rPr>
      </w:pPr>
      <w:r w:rsidRPr="005B2F3D">
        <w:rPr>
          <w:sz w:val="24"/>
          <w:szCs w:val="24"/>
          <w:lang w:val="es-ES_tradnl"/>
        </w:rPr>
        <w:t>A</w:t>
      </w:r>
      <w:r w:rsidR="004E6459">
        <w:rPr>
          <w:sz w:val="24"/>
          <w:szCs w:val="24"/>
          <w:lang w:val="es-ES_tradnl"/>
        </w:rPr>
        <w:t xml:space="preserve"> continuación s</w:t>
      </w:r>
      <w:r w:rsidRPr="005B2F3D">
        <w:rPr>
          <w:sz w:val="24"/>
          <w:szCs w:val="24"/>
          <w:lang w:val="es-ES_tradnl"/>
        </w:rPr>
        <w:t>e exponen los resultados del centro A según el análisis llevado a cabo en el presente estudio, siguiendo la metodología detallada en el anexo II</w:t>
      </w:r>
      <w:r w:rsidR="001F25C6">
        <w:rPr>
          <w:sz w:val="24"/>
          <w:szCs w:val="24"/>
          <w:lang w:val="es-ES_tradnl"/>
        </w:rPr>
        <w:t>. Los d</w:t>
      </w:r>
      <w:r w:rsidR="006D35DD">
        <w:rPr>
          <w:sz w:val="24"/>
          <w:szCs w:val="24"/>
          <w:lang w:val="es-ES_tradnl"/>
        </w:rPr>
        <w:t xml:space="preserve">atos </w:t>
      </w:r>
      <w:r w:rsidR="001F25C6">
        <w:rPr>
          <w:sz w:val="24"/>
          <w:szCs w:val="24"/>
          <w:lang w:val="es-ES_tradnl"/>
        </w:rPr>
        <w:t>corresponden a los años</w:t>
      </w:r>
      <w:r w:rsidR="006D35DD">
        <w:rPr>
          <w:sz w:val="24"/>
          <w:szCs w:val="24"/>
          <w:lang w:val="es-ES_tradnl"/>
        </w:rPr>
        <w:t xml:space="preserve"> 2011-2013</w:t>
      </w:r>
      <w:r w:rsidR="001F25C6">
        <w:rPr>
          <w:sz w:val="24"/>
          <w:szCs w:val="24"/>
          <w:lang w:val="es-ES_tradnl"/>
        </w:rPr>
        <w:t>.</w:t>
      </w:r>
    </w:p>
    <w:p w:rsidR="005B2F3D" w:rsidRPr="008B316C" w:rsidRDefault="005B2F3D" w:rsidP="005B2F3D">
      <w:pPr>
        <w:pStyle w:val="Textoindependiente"/>
        <w:spacing w:before="0" w:after="0" w:line="360" w:lineRule="auto"/>
        <w:rPr>
          <w:lang w:val="es-ES_tradnl"/>
        </w:rPr>
      </w:pPr>
    </w:p>
    <w:tbl>
      <w:tblPr>
        <w:tblStyle w:val="Tablaconcuadrcula"/>
        <w:tblW w:w="0" w:type="auto"/>
        <w:tblCellMar>
          <w:left w:w="70" w:type="dxa"/>
          <w:right w:w="70" w:type="dxa"/>
        </w:tblCellMar>
        <w:tblLook w:val="04A0"/>
      </w:tblPr>
      <w:tblGrid>
        <w:gridCol w:w="8494"/>
      </w:tblGrid>
      <w:tr w:rsidR="008B316C" w:rsidTr="008B316C">
        <w:tc>
          <w:tcPr>
            <w:tcW w:w="8494" w:type="dxa"/>
          </w:tcPr>
          <w:p w:rsidR="008B316C" w:rsidRDefault="008B316C" w:rsidP="008B316C">
            <w:pPr>
              <w:rPr>
                <w:lang w:val="es-ES_tradnl"/>
              </w:rPr>
            </w:pPr>
          </w:p>
          <w:tbl>
            <w:tblPr>
              <w:tblW w:w="8026" w:type="dxa"/>
              <w:jc w:val="center"/>
              <w:tblCellMar>
                <w:left w:w="70" w:type="dxa"/>
                <w:right w:w="70" w:type="dxa"/>
              </w:tblCellMar>
              <w:tblLook w:val="04A0"/>
            </w:tblPr>
            <w:tblGrid>
              <w:gridCol w:w="505"/>
              <w:gridCol w:w="743"/>
              <w:gridCol w:w="829"/>
              <w:gridCol w:w="1307"/>
              <w:gridCol w:w="1063"/>
              <w:gridCol w:w="1652"/>
              <w:gridCol w:w="1927"/>
            </w:tblGrid>
            <w:tr w:rsidR="008B316C" w:rsidRPr="004A4652" w:rsidTr="005B00E1">
              <w:trPr>
                <w:trHeight w:val="465"/>
                <w:jc w:val="center"/>
              </w:trPr>
              <w:tc>
                <w:tcPr>
                  <w:tcW w:w="0" w:type="auto"/>
                  <w:tcBorders>
                    <w:top w:val="nil"/>
                    <w:left w:val="nil"/>
                    <w:bottom w:val="nil"/>
                    <w:right w:val="nil"/>
                  </w:tcBorders>
                  <w:shd w:val="clear" w:color="auto" w:fill="auto"/>
                  <w:noWrap/>
                  <w:vAlign w:val="bottom"/>
                  <w:hideMark/>
                </w:tcPr>
                <w:p w:rsidR="008B316C" w:rsidRPr="004A4652" w:rsidRDefault="008B316C" w:rsidP="008B316C">
                  <w:pPr>
                    <w:rPr>
                      <w:sz w:val="18"/>
                      <w:szCs w:val="18"/>
                      <w:lang w:eastAsia="es-ES"/>
                    </w:rPr>
                  </w:pPr>
                </w:p>
              </w:tc>
              <w:tc>
                <w:tcPr>
                  <w:tcW w:w="0" w:type="auto"/>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Liquidez</w:t>
                  </w:r>
                </w:p>
              </w:tc>
              <w:tc>
                <w:tcPr>
                  <w:tcW w:w="0" w:type="auto"/>
                  <w:tcBorders>
                    <w:top w:val="single" w:sz="4" w:space="0" w:color="auto"/>
                    <w:left w:val="nil"/>
                    <w:bottom w:val="single" w:sz="4" w:space="0" w:color="auto"/>
                    <w:right w:val="single" w:sz="4" w:space="0" w:color="auto"/>
                  </w:tcBorders>
                  <w:shd w:val="clear" w:color="000000" w:fill="F2DCDB"/>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Solvencia</w:t>
                  </w:r>
                </w:p>
              </w:tc>
              <w:tc>
                <w:tcPr>
                  <w:tcW w:w="0" w:type="auto"/>
                  <w:tcBorders>
                    <w:top w:val="single" w:sz="4" w:space="0" w:color="auto"/>
                    <w:left w:val="nil"/>
                    <w:bottom w:val="single" w:sz="4" w:space="0" w:color="auto"/>
                    <w:right w:val="single" w:sz="4" w:space="0" w:color="auto"/>
                  </w:tcBorders>
                  <w:shd w:val="clear" w:color="000000" w:fill="F2DCDB"/>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Endeudamiento</w:t>
                  </w:r>
                </w:p>
              </w:tc>
              <w:tc>
                <w:tcPr>
                  <w:tcW w:w="0" w:type="auto"/>
                  <w:tcBorders>
                    <w:top w:val="single" w:sz="4" w:space="0" w:color="auto"/>
                    <w:left w:val="nil"/>
                    <w:bottom w:val="single" w:sz="4" w:space="0" w:color="auto"/>
                    <w:right w:val="single" w:sz="4" w:space="0" w:color="auto"/>
                  </w:tcBorders>
                  <w:shd w:val="clear" w:color="000000" w:fill="F2DCDB"/>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Rentabilidad</w:t>
                  </w:r>
                </w:p>
              </w:tc>
              <w:tc>
                <w:tcPr>
                  <w:tcW w:w="0" w:type="auto"/>
                  <w:tcBorders>
                    <w:top w:val="single" w:sz="4" w:space="0" w:color="auto"/>
                    <w:left w:val="nil"/>
                    <w:bottom w:val="single" w:sz="4" w:space="0" w:color="auto"/>
                    <w:right w:val="single" w:sz="4" w:space="0" w:color="auto"/>
                  </w:tcBorders>
                  <w:shd w:val="clear" w:color="000000" w:fill="F2DCDB"/>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Ventas (en euros)</w:t>
                  </w:r>
                </w:p>
              </w:tc>
              <w:tc>
                <w:tcPr>
                  <w:tcW w:w="0" w:type="auto"/>
                  <w:tcBorders>
                    <w:top w:val="single" w:sz="4" w:space="0" w:color="auto"/>
                    <w:left w:val="nil"/>
                    <w:bottom w:val="single" w:sz="4" w:space="0" w:color="auto"/>
                    <w:right w:val="single" w:sz="4" w:space="0" w:color="auto"/>
                  </w:tcBorders>
                  <w:shd w:val="clear" w:color="000000" w:fill="F2DCDB"/>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Beneficios (en euros)</w:t>
                  </w:r>
                </w:p>
              </w:tc>
            </w:tr>
            <w:tr w:rsidR="008B316C" w:rsidRPr="004A4652" w:rsidTr="005B00E1">
              <w:trPr>
                <w:trHeight w:val="40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2012</w:t>
                  </w:r>
                </w:p>
              </w:tc>
              <w:tc>
                <w:tcPr>
                  <w:tcW w:w="0" w:type="auto"/>
                  <w:tcBorders>
                    <w:top w:val="nil"/>
                    <w:left w:val="nil"/>
                    <w:bottom w:val="single" w:sz="4" w:space="0" w:color="auto"/>
                    <w:right w:val="single" w:sz="4" w:space="0" w:color="auto"/>
                  </w:tcBorders>
                  <w:shd w:val="clear" w:color="000000" w:fill="C4D79B"/>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6,27</w:t>
                  </w:r>
                </w:p>
              </w:tc>
              <w:tc>
                <w:tcPr>
                  <w:tcW w:w="0" w:type="auto"/>
                  <w:tcBorders>
                    <w:top w:val="nil"/>
                    <w:left w:val="nil"/>
                    <w:bottom w:val="single" w:sz="4" w:space="0" w:color="auto"/>
                    <w:right w:val="single" w:sz="4" w:space="0" w:color="auto"/>
                  </w:tcBorders>
                  <w:shd w:val="clear" w:color="000000" w:fill="C4D79B"/>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8,36</w:t>
                  </w:r>
                </w:p>
              </w:tc>
              <w:tc>
                <w:tcPr>
                  <w:tcW w:w="0" w:type="auto"/>
                  <w:tcBorders>
                    <w:top w:val="nil"/>
                    <w:left w:val="nil"/>
                    <w:bottom w:val="single" w:sz="4" w:space="0" w:color="auto"/>
                    <w:right w:val="single" w:sz="4" w:space="0" w:color="auto"/>
                  </w:tcBorders>
                  <w:shd w:val="clear" w:color="000000" w:fill="C4D79B"/>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0,05</w:t>
                  </w:r>
                </w:p>
              </w:tc>
              <w:tc>
                <w:tcPr>
                  <w:tcW w:w="0" w:type="auto"/>
                  <w:tcBorders>
                    <w:top w:val="nil"/>
                    <w:left w:val="nil"/>
                    <w:bottom w:val="single" w:sz="4" w:space="0" w:color="auto"/>
                    <w:right w:val="single" w:sz="4" w:space="0" w:color="auto"/>
                  </w:tcBorders>
                  <w:shd w:val="clear" w:color="auto" w:fill="auto"/>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 xml:space="preserve">                 283.070,00   </w:t>
                  </w:r>
                </w:p>
              </w:tc>
              <w:tc>
                <w:tcPr>
                  <w:tcW w:w="0" w:type="auto"/>
                  <w:tcBorders>
                    <w:top w:val="nil"/>
                    <w:left w:val="nil"/>
                    <w:bottom w:val="single" w:sz="4" w:space="0" w:color="auto"/>
                    <w:right w:val="single" w:sz="4" w:space="0" w:color="auto"/>
                  </w:tcBorders>
                  <w:shd w:val="clear" w:color="auto" w:fill="auto"/>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 xml:space="preserve">                          15.187,00   </w:t>
                  </w:r>
                </w:p>
              </w:tc>
            </w:tr>
            <w:tr w:rsidR="008B316C" w:rsidRPr="004A4652" w:rsidTr="005B00E1">
              <w:trPr>
                <w:trHeight w:val="4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2011</w:t>
                  </w:r>
                </w:p>
              </w:tc>
              <w:tc>
                <w:tcPr>
                  <w:tcW w:w="0" w:type="auto"/>
                  <w:tcBorders>
                    <w:top w:val="nil"/>
                    <w:left w:val="nil"/>
                    <w:bottom w:val="single" w:sz="4" w:space="0" w:color="auto"/>
                    <w:right w:val="single" w:sz="4" w:space="0" w:color="auto"/>
                  </w:tcBorders>
                  <w:shd w:val="clear" w:color="000000" w:fill="C4D79B"/>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6,89</w:t>
                  </w:r>
                </w:p>
              </w:tc>
              <w:tc>
                <w:tcPr>
                  <w:tcW w:w="0" w:type="auto"/>
                  <w:tcBorders>
                    <w:top w:val="nil"/>
                    <w:left w:val="nil"/>
                    <w:bottom w:val="single" w:sz="4" w:space="0" w:color="auto"/>
                    <w:right w:val="single" w:sz="4" w:space="0" w:color="auto"/>
                  </w:tcBorders>
                  <w:shd w:val="clear" w:color="000000" w:fill="C4D79B"/>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9,91</w:t>
                  </w:r>
                </w:p>
              </w:tc>
              <w:tc>
                <w:tcPr>
                  <w:tcW w:w="0" w:type="auto"/>
                  <w:tcBorders>
                    <w:top w:val="nil"/>
                    <w:left w:val="nil"/>
                    <w:bottom w:val="single" w:sz="4" w:space="0" w:color="auto"/>
                    <w:right w:val="single" w:sz="4" w:space="0" w:color="auto"/>
                  </w:tcBorders>
                  <w:shd w:val="clear" w:color="000000" w:fill="C4D79B"/>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0,01</w:t>
                  </w:r>
                </w:p>
              </w:tc>
              <w:tc>
                <w:tcPr>
                  <w:tcW w:w="0" w:type="auto"/>
                  <w:tcBorders>
                    <w:top w:val="nil"/>
                    <w:left w:val="nil"/>
                    <w:bottom w:val="single" w:sz="4" w:space="0" w:color="auto"/>
                    <w:right w:val="single" w:sz="4" w:space="0" w:color="auto"/>
                  </w:tcBorders>
                  <w:shd w:val="clear" w:color="000000" w:fill="FCD5B4"/>
                  <w:noWrap/>
                  <w:vAlign w:val="bottom"/>
                  <w:hideMark/>
                </w:tcPr>
                <w:p w:rsidR="008B316C" w:rsidRPr="004A4652" w:rsidRDefault="008B316C" w:rsidP="008B316C">
                  <w:pPr>
                    <w:jc w:val="right"/>
                    <w:rPr>
                      <w:rFonts w:ascii="Calibri" w:hAnsi="Calibri" w:cs="Calibri"/>
                      <w:color w:val="000000"/>
                      <w:sz w:val="18"/>
                      <w:szCs w:val="18"/>
                      <w:lang w:eastAsia="es-ES"/>
                    </w:rPr>
                  </w:pPr>
                  <w:r w:rsidRPr="004A4652">
                    <w:rPr>
                      <w:rFonts w:ascii="Calibri" w:hAnsi="Calibri" w:cs="Calibri"/>
                      <w:color w:val="000000"/>
                      <w:sz w:val="18"/>
                      <w:szCs w:val="18"/>
                      <w:lang w:eastAsia="es-ES"/>
                    </w:rPr>
                    <w:t>0,01</w:t>
                  </w:r>
                </w:p>
              </w:tc>
              <w:tc>
                <w:tcPr>
                  <w:tcW w:w="0" w:type="auto"/>
                  <w:tcBorders>
                    <w:top w:val="nil"/>
                    <w:left w:val="nil"/>
                    <w:bottom w:val="single" w:sz="4" w:space="0" w:color="auto"/>
                    <w:right w:val="single" w:sz="4" w:space="0" w:color="auto"/>
                  </w:tcBorders>
                  <w:shd w:val="clear" w:color="auto" w:fill="auto"/>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 xml:space="preserve">                 242.146,00   </w:t>
                  </w:r>
                </w:p>
              </w:tc>
              <w:tc>
                <w:tcPr>
                  <w:tcW w:w="0" w:type="auto"/>
                  <w:tcBorders>
                    <w:top w:val="nil"/>
                    <w:left w:val="nil"/>
                    <w:bottom w:val="single" w:sz="4" w:space="0" w:color="auto"/>
                    <w:right w:val="single" w:sz="4" w:space="0" w:color="auto"/>
                  </w:tcBorders>
                  <w:shd w:val="clear" w:color="auto" w:fill="auto"/>
                  <w:noWrap/>
                  <w:vAlign w:val="bottom"/>
                  <w:hideMark/>
                </w:tcPr>
                <w:p w:rsidR="008B316C" w:rsidRPr="004A4652" w:rsidRDefault="008B316C" w:rsidP="008B316C">
                  <w:pPr>
                    <w:rPr>
                      <w:rFonts w:ascii="Calibri" w:hAnsi="Calibri" w:cs="Calibri"/>
                      <w:color w:val="000000"/>
                      <w:sz w:val="18"/>
                      <w:szCs w:val="18"/>
                      <w:lang w:eastAsia="es-ES"/>
                    </w:rPr>
                  </w:pPr>
                  <w:r w:rsidRPr="004A4652">
                    <w:rPr>
                      <w:rFonts w:ascii="Calibri" w:hAnsi="Calibri" w:cs="Calibri"/>
                      <w:color w:val="000000"/>
                      <w:sz w:val="18"/>
                      <w:szCs w:val="18"/>
                      <w:lang w:eastAsia="es-ES"/>
                    </w:rPr>
                    <w:t xml:space="preserve">                            1.418,00   </w:t>
                  </w:r>
                </w:p>
              </w:tc>
            </w:tr>
          </w:tbl>
          <w:p w:rsidR="008B316C" w:rsidRDefault="008B316C" w:rsidP="008B316C">
            <w:pPr>
              <w:rPr>
                <w:lang w:val="es-ES_tradnl"/>
              </w:rPr>
            </w:pPr>
          </w:p>
          <w:p w:rsidR="008B316C" w:rsidRDefault="008B316C" w:rsidP="00E63F68">
            <w:pPr>
              <w:jc w:val="center"/>
              <w:rPr>
                <w:lang w:val="es-ES_tradnl"/>
              </w:rPr>
            </w:pPr>
            <w:r>
              <w:rPr>
                <w:noProof/>
                <w:lang w:eastAsia="es-ES"/>
              </w:rPr>
              <w:drawing>
                <wp:inline distT="0" distB="0" distL="0" distR="0">
                  <wp:extent cx="4420870" cy="81103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B316C" w:rsidRDefault="008B316C" w:rsidP="008B316C">
            <w:pPr>
              <w:jc w:val="center"/>
              <w:rPr>
                <w:lang w:val="es-ES_tradnl"/>
              </w:rPr>
            </w:pPr>
            <w:r>
              <w:rPr>
                <w:noProof/>
                <w:lang w:eastAsia="es-ES"/>
              </w:rPr>
              <w:drawing>
                <wp:inline distT="0" distB="0" distL="0" distR="0">
                  <wp:extent cx="4572000" cy="1357313"/>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B316C" w:rsidRDefault="008B316C" w:rsidP="008B316C">
            <w:pPr>
              <w:jc w:val="center"/>
              <w:rPr>
                <w:lang w:val="es-ES_tradnl"/>
              </w:rPr>
            </w:pPr>
            <w:r>
              <w:rPr>
                <w:noProof/>
                <w:lang w:eastAsia="es-ES"/>
              </w:rPr>
              <w:drawing>
                <wp:inline distT="0" distB="0" distL="0" distR="0">
                  <wp:extent cx="4572000" cy="1357313"/>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B316C" w:rsidRDefault="008B316C" w:rsidP="008B316C">
            <w:pPr>
              <w:rPr>
                <w:lang w:val="es-ES_tradnl"/>
              </w:rPr>
            </w:pPr>
          </w:p>
        </w:tc>
      </w:tr>
    </w:tbl>
    <w:p w:rsidR="008B316C" w:rsidRDefault="008B316C" w:rsidP="008B316C">
      <w:pPr>
        <w:pStyle w:val="Textoindependiente"/>
        <w:rPr>
          <w:lang w:val="es-ES_tradnl"/>
        </w:rPr>
      </w:pPr>
    </w:p>
    <w:p w:rsidR="00E63F68" w:rsidRDefault="00E63F68" w:rsidP="008B316C">
      <w:pPr>
        <w:pStyle w:val="Textoindependiente"/>
        <w:rPr>
          <w:lang w:val="es-ES_tradnl"/>
        </w:rPr>
      </w:pPr>
    </w:p>
    <w:p w:rsidR="00E63F68" w:rsidRDefault="00E63F68" w:rsidP="008B316C">
      <w:pPr>
        <w:pStyle w:val="Textoindependiente"/>
        <w:rPr>
          <w:lang w:val="es-ES_tradnl"/>
        </w:rPr>
      </w:pPr>
    </w:p>
    <w:tbl>
      <w:tblPr>
        <w:tblStyle w:val="Tablaconcuadrcula"/>
        <w:tblpPr w:leftFromText="141" w:rightFromText="141" w:vertAnchor="text" w:horzAnchor="margin" w:tblpY="125"/>
        <w:tblOverlap w:val="never"/>
        <w:tblW w:w="8982" w:type="dxa"/>
        <w:tblBorders>
          <w:bottom w:val="none" w:sz="0" w:space="0" w:color="auto"/>
        </w:tblBorders>
        <w:tblLook w:val="04A0"/>
      </w:tblPr>
      <w:tblGrid>
        <w:gridCol w:w="4656"/>
        <w:gridCol w:w="4326"/>
      </w:tblGrid>
      <w:tr w:rsidR="008B316C" w:rsidTr="008B316C">
        <w:tc>
          <w:tcPr>
            <w:tcW w:w="4656" w:type="dxa"/>
          </w:tcPr>
          <w:p w:rsidR="008B316C" w:rsidRDefault="008B316C" w:rsidP="008B316C">
            <w:pPr>
              <w:rPr>
                <w:lang w:val="es-ES_tradnl"/>
              </w:rPr>
            </w:pPr>
          </w:p>
          <w:p w:rsidR="008B316C" w:rsidRDefault="008B316C" w:rsidP="008B316C">
            <w:pPr>
              <w:rPr>
                <w:lang w:val="es-ES_tradnl"/>
              </w:rPr>
            </w:pPr>
            <w:r>
              <w:rPr>
                <w:noProof/>
                <w:lang w:eastAsia="es-ES"/>
              </w:rPr>
              <w:drawing>
                <wp:inline distT="0" distB="0" distL="0" distR="0">
                  <wp:extent cx="2814320" cy="2297927"/>
                  <wp:effectExtent l="0" t="0" r="5080" b="762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B316C" w:rsidRDefault="008B316C" w:rsidP="008B316C">
            <w:pPr>
              <w:rPr>
                <w:lang w:val="es-ES_tradnl"/>
              </w:rPr>
            </w:pPr>
          </w:p>
        </w:tc>
        <w:tc>
          <w:tcPr>
            <w:tcW w:w="4326" w:type="dxa"/>
          </w:tcPr>
          <w:p w:rsidR="008B316C" w:rsidRDefault="00AC67C0" w:rsidP="008B316C">
            <w:pPr>
              <w:rPr>
                <w:lang w:val="es-ES_tradnl"/>
              </w:rPr>
            </w:pPr>
            <w:r>
              <w:rPr>
                <w:noProof/>
                <w:lang w:eastAsia="es-ES"/>
              </w:rPr>
              <w:pict>
                <v:shape id="Text Box 1" o:spid="_x0000_s1035" type="#_x0000_t202" style="position:absolute;margin-left:.05pt;margin-top:6.4pt;width:186.7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" filled="f" stroked="f">
                  <v:textbox>
                    <w:txbxContent>
                      <w:p w:rsidR="003C4DD0" w:rsidRDefault="003C4DD0" w:rsidP="00737B3F">
                        <w:pPr>
                          <w:pStyle w:val="NormalWeb"/>
                          <w:spacing w:before="0" w:beforeAutospacing="0" w:after="0" w:afterAutospacing="0"/>
                        </w:pPr>
                        <w:r>
                          <w:rPr>
                            <w:rFonts w:asciiTheme="minorHAnsi" w:hAnsi="Calibri" w:cstheme="minorBidi"/>
                            <w:sz w:val="18"/>
                            <w:szCs w:val="18"/>
                          </w:rPr>
                          <w:t>Evolución de Endeudamiento  y Rentabilidad</w:t>
                        </w:r>
                      </w:p>
                    </w:txbxContent>
                  </v:textbox>
                </v:shape>
              </w:pict>
            </w:r>
          </w:p>
          <w:p w:rsidR="008B316C" w:rsidRDefault="008B316C" w:rsidP="008B316C">
            <w:pPr>
              <w:rPr>
                <w:lang w:val="es-ES_tradnl"/>
              </w:rPr>
            </w:pPr>
            <w:r>
              <w:rPr>
                <w:noProof/>
                <w:lang w:eastAsia="es-ES"/>
              </w:rPr>
              <w:drawing>
                <wp:inline distT="0" distB="0" distL="0" distR="0">
                  <wp:extent cx="2592125" cy="2297430"/>
                  <wp:effectExtent l="0" t="0" r="0" b="762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8B316C" w:rsidTr="008B316C">
        <w:tc>
          <w:tcPr>
            <w:tcW w:w="4656" w:type="dxa"/>
            <w:tcBorders>
              <w:bottom w:val="single" w:sz="4" w:space="0" w:color="000000"/>
            </w:tcBorders>
          </w:tcPr>
          <w:p w:rsidR="008B316C" w:rsidRDefault="008B316C" w:rsidP="008B316C">
            <w:pPr>
              <w:rPr>
                <w:lang w:val="es-ES_tradnl"/>
              </w:rPr>
            </w:pPr>
          </w:p>
          <w:p w:rsidR="008B316C" w:rsidRDefault="008B316C" w:rsidP="008B316C">
            <w:pPr>
              <w:rPr>
                <w:lang w:val="es-ES_tradnl"/>
              </w:rPr>
            </w:pPr>
            <w:r>
              <w:rPr>
                <w:noProof/>
                <w:lang w:eastAsia="es-ES"/>
              </w:rPr>
              <w:drawing>
                <wp:inline distT="0" distB="0" distL="0" distR="0">
                  <wp:extent cx="2814320" cy="2011680"/>
                  <wp:effectExtent l="0" t="0" r="5080" b="762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B316C" w:rsidRDefault="008B316C" w:rsidP="008B316C">
            <w:pPr>
              <w:rPr>
                <w:lang w:val="es-ES_tradnl"/>
              </w:rPr>
            </w:pPr>
          </w:p>
        </w:tc>
        <w:tc>
          <w:tcPr>
            <w:tcW w:w="4326" w:type="dxa"/>
            <w:tcBorders>
              <w:bottom w:val="single" w:sz="4" w:space="0" w:color="000000"/>
            </w:tcBorders>
          </w:tcPr>
          <w:p w:rsidR="008B316C" w:rsidRDefault="008B316C" w:rsidP="008B316C">
            <w:pPr>
              <w:rPr>
                <w:lang w:val="es-ES_tradnl"/>
              </w:rPr>
            </w:pPr>
          </w:p>
          <w:p w:rsidR="008B316C" w:rsidRDefault="008B316C" w:rsidP="008B316C">
            <w:pPr>
              <w:rPr>
                <w:lang w:val="es-ES_tradnl"/>
              </w:rPr>
            </w:pPr>
            <w:r>
              <w:rPr>
                <w:noProof/>
                <w:lang w:eastAsia="es-ES"/>
              </w:rPr>
              <w:drawing>
                <wp:inline distT="0" distB="0" distL="0" distR="0">
                  <wp:extent cx="2592070" cy="2011293"/>
                  <wp:effectExtent l="0" t="0" r="0" b="8255"/>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8B316C" w:rsidTr="008B316C">
        <w:tblPrEx>
          <w:tblCellMar>
            <w:left w:w="70" w:type="dxa"/>
            <w:right w:w="70" w:type="dxa"/>
          </w:tblCellMar>
        </w:tblPrEx>
        <w:tc>
          <w:tcPr>
            <w:tcW w:w="8982" w:type="dxa"/>
            <w:gridSpan w:val="2"/>
            <w:tcBorders>
              <w:top w:val="single" w:sz="4" w:space="0" w:color="000000"/>
              <w:left w:val="single" w:sz="4" w:space="0" w:color="000000"/>
              <w:bottom w:val="single" w:sz="4" w:space="0" w:color="000000"/>
              <w:right w:val="single" w:sz="4" w:space="0" w:color="000000"/>
            </w:tcBorders>
          </w:tcPr>
          <w:p w:rsidR="008B316C" w:rsidRDefault="008B316C" w:rsidP="008B316C">
            <w:pPr>
              <w:rPr>
                <w:lang w:val="es-ES_tradnl"/>
              </w:rPr>
            </w:pPr>
          </w:p>
          <w:p w:rsidR="008F19A5" w:rsidRDefault="008F19A5" w:rsidP="008B316C">
            <w:pPr>
              <w:rPr>
                <w:lang w:val="es-ES_tradnl"/>
              </w:rPr>
            </w:pPr>
            <w:r>
              <w:rPr>
                <w:noProof/>
                <w:lang w:eastAsia="es-ES"/>
              </w:rPr>
              <w:drawing>
                <wp:inline distT="0" distB="0" distL="0" distR="0">
                  <wp:extent cx="5230495" cy="2062716"/>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B316C" w:rsidRDefault="008B316C" w:rsidP="008B316C">
            <w:pPr>
              <w:rPr>
                <w:lang w:val="es-ES_tradnl"/>
              </w:rPr>
            </w:pPr>
          </w:p>
        </w:tc>
      </w:tr>
    </w:tbl>
    <w:p w:rsidR="008F19A5" w:rsidRDefault="008F19A5" w:rsidP="008F19A5">
      <w:pPr>
        <w:pStyle w:val="Textoindependiente"/>
        <w:spacing w:before="0" w:after="0" w:line="360" w:lineRule="auto"/>
        <w:rPr>
          <w:sz w:val="24"/>
          <w:szCs w:val="24"/>
          <w:lang w:val="es-ES_tradnl"/>
        </w:rPr>
      </w:pPr>
    </w:p>
    <w:p w:rsidR="008B316C" w:rsidRDefault="008B316C" w:rsidP="008F19A5">
      <w:pPr>
        <w:pStyle w:val="Textoindependiente"/>
        <w:spacing w:before="0" w:after="0" w:line="360" w:lineRule="auto"/>
        <w:rPr>
          <w:sz w:val="24"/>
          <w:szCs w:val="24"/>
          <w:lang w:val="es-ES_tradnl"/>
        </w:rPr>
      </w:pPr>
      <w:r w:rsidRPr="008F19A5">
        <w:rPr>
          <w:sz w:val="24"/>
          <w:szCs w:val="24"/>
          <w:lang w:val="es-ES_tradnl"/>
        </w:rPr>
        <w:t>A continuación se exponen algunos datos comparativos entre el rendimiento del centro A y su sector de actividad</w:t>
      </w:r>
      <w:r w:rsidR="00E63F68">
        <w:rPr>
          <w:sz w:val="24"/>
          <w:szCs w:val="24"/>
          <w:lang w:val="es-ES_tradnl"/>
        </w:rPr>
        <w:t>.</w:t>
      </w:r>
    </w:p>
    <w:p w:rsidR="00ED6FB6" w:rsidRPr="008F19A5" w:rsidRDefault="00ED6FB6" w:rsidP="008F19A5">
      <w:pPr>
        <w:pStyle w:val="Textoindependiente"/>
        <w:spacing w:before="0" w:after="0" w:line="360" w:lineRule="auto"/>
        <w:rPr>
          <w:sz w:val="24"/>
          <w:szCs w:val="24"/>
          <w:lang w:val="es-ES_tradnl"/>
        </w:rPr>
      </w:pPr>
    </w:p>
    <w:p w:rsidR="008B316C" w:rsidRDefault="00ED6FB6" w:rsidP="008F19A5">
      <w:pPr>
        <w:pStyle w:val="Textoindependiente"/>
        <w:spacing w:before="0" w:after="0" w:line="360" w:lineRule="auto"/>
        <w:rPr>
          <w:sz w:val="24"/>
          <w:szCs w:val="24"/>
          <w:lang w:val="es-ES_tradnl"/>
        </w:rPr>
      </w:pPr>
      <w:r>
        <w:rPr>
          <w:sz w:val="24"/>
          <w:szCs w:val="24"/>
          <w:lang w:val="es-ES_tradnl"/>
        </w:rPr>
        <w:t xml:space="preserve">Sector </w:t>
      </w:r>
      <w:r w:rsidR="008B316C" w:rsidRPr="008F19A5">
        <w:rPr>
          <w:sz w:val="24"/>
          <w:szCs w:val="24"/>
          <w:lang w:val="es-ES_tradnl"/>
        </w:rPr>
        <w:t>CNAE del centro A: 9601 Limpieza de prendas textiles</w:t>
      </w:r>
    </w:p>
    <w:p w:rsidR="00D07400" w:rsidRDefault="00D07400" w:rsidP="008F19A5">
      <w:pPr>
        <w:pStyle w:val="Textoindependiente"/>
        <w:spacing w:before="0" w:after="0" w:line="360" w:lineRule="auto"/>
        <w:rPr>
          <w:sz w:val="24"/>
          <w:szCs w:val="24"/>
          <w:lang w:val="es-ES_tradnl"/>
        </w:rPr>
      </w:pPr>
    </w:p>
    <w:tbl>
      <w:tblPr>
        <w:tblW w:w="8851" w:type="dxa"/>
        <w:tblCellMar>
          <w:left w:w="70" w:type="dxa"/>
          <w:right w:w="70" w:type="dxa"/>
        </w:tblCellMar>
        <w:tblLook w:val="04A0"/>
      </w:tblPr>
      <w:tblGrid>
        <w:gridCol w:w="1984"/>
        <w:gridCol w:w="1661"/>
        <w:gridCol w:w="1884"/>
        <w:gridCol w:w="1661"/>
        <w:gridCol w:w="1661"/>
      </w:tblGrid>
      <w:tr w:rsidR="00D07400" w:rsidRPr="00BB0C2F" w:rsidTr="00D07400">
        <w:trPr>
          <w:trHeight w:val="454"/>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400" w:rsidRPr="00BB0C2F" w:rsidRDefault="00D07400" w:rsidP="001E6BD5">
            <w:pPr>
              <w:rPr>
                <w:rFonts w:ascii="Calibri" w:hAnsi="Calibri" w:cs="Calibri"/>
                <w:color w:val="215868" w:themeColor="accent5" w:themeShade="80"/>
                <w:lang w:eastAsia="es-ES"/>
              </w:rPr>
            </w:pPr>
            <w:r w:rsidRPr="00BB0C2F">
              <w:rPr>
                <w:rFonts w:ascii="Calibri" w:hAnsi="Calibri" w:cs="Calibri"/>
                <w:color w:val="215868" w:themeColor="accent5" w:themeShade="80"/>
                <w:lang w:eastAsia="es-ES"/>
              </w:rPr>
              <w:t> </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D07400" w:rsidRPr="00BB0C2F" w:rsidRDefault="00D07400" w:rsidP="001E6BD5">
            <w:pPr>
              <w:rPr>
                <w:rFonts w:ascii="Calibri" w:hAnsi="Calibri" w:cs="Calibri"/>
                <w:b/>
                <w:color w:val="002060"/>
                <w:lang w:eastAsia="es-ES"/>
              </w:rPr>
            </w:pPr>
            <w:r w:rsidRPr="00BB0C2F">
              <w:rPr>
                <w:rFonts w:ascii="Calibri" w:hAnsi="Calibri" w:cs="Calibri"/>
                <w:b/>
                <w:color w:val="002060"/>
                <w:lang w:eastAsia="es-ES"/>
              </w:rPr>
              <w:t>Compañía</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D07400" w:rsidRPr="00BB0C2F" w:rsidRDefault="00D07400" w:rsidP="001E6BD5">
            <w:pPr>
              <w:rPr>
                <w:rFonts w:ascii="Calibri" w:hAnsi="Calibri" w:cs="Calibri"/>
                <w:b/>
                <w:color w:val="002060"/>
                <w:lang w:eastAsia="es-ES"/>
              </w:rPr>
            </w:pPr>
            <w:r w:rsidRPr="00BB0C2F">
              <w:rPr>
                <w:rFonts w:ascii="Calibri" w:hAnsi="Calibri" w:cs="Calibri"/>
                <w:b/>
                <w:color w:val="002060"/>
                <w:lang w:eastAsia="es-ES"/>
              </w:rPr>
              <w:t>Percentil 25</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D07400" w:rsidRPr="00BB0C2F" w:rsidRDefault="00D07400" w:rsidP="001E6BD5">
            <w:pPr>
              <w:rPr>
                <w:rFonts w:ascii="Calibri" w:hAnsi="Calibri" w:cs="Calibri"/>
                <w:b/>
                <w:color w:val="002060"/>
                <w:lang w:eastAsia="es-ES"/>
              </w:rPr>
            </w:pPr>
            <w:r w:rsidRPr="00BB0C2F">
              <w:rPr>
                <w:rFonts w:ascii="Calibri" w:hAnsi="Calibri" w:cs="Calibri"/>
                <w:b/>
                <w:color w:val="002060"/>
                <w:lang w:eastAsia="es-ES"/>
              </w:rPr>
              <w:t>Percentil 50</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D07400" w:rsidRPr="00BB0C2F" w:rsidRDefault="00D07400" w:rsidP="001E6BD5">
            <w:pPr>
              <w:rPr>
                <w:rFonts w:ascii="Calibri" w:hAnsi="Calibri" w:cs="Calibri"/>
                <w:b/>
                <w:color w:val="002060"/>
                <w:lang w:eastAsia="es-ES"/>
              </w:rPr>
            </w:pPr>
            <w:r w:rsidRPr="00BB0C2F">
              <w:rPr>
                <w:rFonts w:ascii="Calibri" w:hAnsi="Calibri" w:cs="Calibri"/>
                <w:b/>
                <w:color w:val="002060"/>
                <w:lang w:eastAsia="es-ES"/>
              </w:rPr>
              <w:t>Percentil 75</w:t>
            </w:r>
          </w:p>
        </w:tc>
      </w:tr>
      <w:tr w:rsidR="00D07400" w:rsidRPr="00BB0C2F" w:rsidTr="00D07400">
        <w:trPr>
          <w:trHeight w:val="337"/>
        </w:trPr>
        <w:tc>
          <w:tcPr>
            <w:tcW w:w="1984" w:type="dxa"/>
            <w:tcBorders>
              <w:top w:val="nil"/>
              <w:left w:val="single" w:sz="4" w:space="0" w:color="auto"/>
              <w:bottom w:val="single" w:sz="4" w:space="0" w:color="auto"/>
              <w:right w:val="single" w:sz="4" w:space="0" w:color="auto"/>
            </w:tcBorders>
            <w:shd w:val="clear" w:color="auto" w:fill="auto"/>
            <w:vAlign w:val="bottom"/>
            <w:hideMark/>
          </w:tcPr>
          <w:p w:rsidR="00D07400" w:rsidRPr="00BB0C2F" w:rsidRDefault="00D07400" w:rsidP="001E6BD5">
            <w:pPr>
              <w:rPr>
                <w:rFonts w:ascii="Calibri" w:hAnsi="Calibri" w:cs="Calibri"/>
                <w:color w:val="000000"/>
                <w:lang w:eastAsia="es-ES"/>
              </w:rPr>
            </w:pPr>
            <w:r w:rsidRPr="00BB0C2F">
              <w:rPr>
                <w:rFonts w:ascii="Calibri" w:hAnsi="Calibri" w:cs="Calibri"/>
                <w:color w:val="000000"/>
                <w:lang w:eastAsia="es-ES"/>
              </w:rPr>
              <w:t>Activo Circulante (€)</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186.909,26</w:t>
            </w:r>
          </w:p>
        </w:tc>
        <w:tc>
          <w:tcPr>
            <w:tcW w:w="1884"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-14976,05</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9.526,20</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89.068,23</w:t>
            </w:r>
          </w:p>
        </w:tc>
      </w:tr>
      <w:tr w:rsidR="00D07400" w:rsidRPr="00BB0C2F" w:rsidTr="00D07400">
        <w:trPr>
          <w:trHeight w:val="531"/>
        </w:trPr>
        <w:tc>
          <w:tcPr>
            <w:tcW w:w="1984" w:type="dxa"/>
            <w:tcBorders>
              <w:top w:val="nil"/>
              <w:left w:val="single" w:sz="4" w:space="0" w:color="auto"/>
              <w:bottom w:val="single" w:sz="4" w:space="0" w:color="auto"/>
              <w:right w:val="single" w:sz="4" w:space="0" w:color="auto"/>
            </w:tcBorders>
            <w:shd w:val="clear" w:color="auto" w:fill="auto"/>
            <w:vAlign w:val="bottom"/>
            <w:hideMark/>
          </w:tcPr>
          <w:p w:rsidR="00D07400" w:rsidRPr="00BB0C2F" w:rsidRDefault="00D07400" w:rsidP="001E6BD5">
            <w:pPr>
              <w:rPr>
                <w:rFonts w:ascii="Calibri" w:hAnsi="Calibri" w:cs="Calibri"/>
                <w:color w:val="000000"/>
                <w:lang w:eastAsia="es-ES"/>
              </w:rPr>
            </w:pPr>
            <w:r w:rsidRPr="00BB0C2F">
              <w:rPr>
                <w:rFonts w:ascii="Calibri" w:hAnsi="Calibri" w:cs="Calibri"/>
                <w:color w:val="000000"/>
                <w:lang w:eastAsia="es-ES"/>
              </w:rPr>
              <w:t>Ratio de Liquidez</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627,3</w:t>
            </w:r>
          </w:p>
        </w:tc>
        <w:tc>
          <w:tcPr>
            <w:tcW w:w="1884"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70,41</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129,89</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242,31</w:t>
            </w:r>
          </w:p>
        </w:tc>
      </w:tr>
      <w:tr w:rsidR="00D07400" w:rsidRPr="00BB0C2F" w:rsidTr="00D07400">
        <w:trPr>
          <w:trHeight w:val="809"/>
        </w:trPr>
        <w:tc>
          <w:tcPr>
            <w:tcW w:w="1984" w:type="dxa"/>
            <w:tcBorders>
              <w:top w:val="nil"/>
              <w:left w:val="single" w:sz="4" w:space="0" w:color="auto"/>
              <w:bottom w:val="single" w:sz="4" w:space="0" w:color="auto"/>
              <w:right w:val="single" w:sz="4" w:space="0" w:color="auto"/>
            </w:tcBorders>
            <w:shd w:val="clear" w:color="auto" w:fill="auto"/>
            <w:vAlign w:val="bottom"/>
            <w:hideMark/>
          </w:tcPr>
          <w:p w:rsidR="00D07400" w:rsidRPr="00BB0C2F" w:rsidRDefault="00D07400" w:rsidP="001E6BD5">
            <w:pPr>
              <w:rPr>
                <w:rFonts w:ascii="Calibri" w:hAnsi="Calibri" w:cs="Calibri"/>
                <w:color w:val="000000"/>
                <w:lang w:eastAsia="es-ES"/>
              </w:rPr>
            </w:pPr>
            <w:r w:rsidRPr="00BB0C2F">
              <w:rPr>
                <w:rFonts w:ascii="Calibri" w:hAnsi="Calibri" w:cs="Calibri"/>
                <w:color w:val="000000"/>
                <w:lang w:eastAsia="es-ES"/>
              </w:rPr>
              <w:t>Volumen Medio de Facturación por Empleado</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17.634</w:t>
            </w:r>
          </w:p>
        </w:tc>
        <w:tc>
          <w:tcPr>
            <w:tcW w:w="1884"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26.153,03</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38.077,43</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51.840,64</w:t>
            </w:r>
          </w:p>
        </w:tc>
      </w:tr>
      <w:tr w:rsidR="00D07400" w:rsidRPr="00BB0C2F" w:rsidTr="00D07400">
        <w:trPr>
          <w:trHeight w:val="656"/>
        </w:trPr>
        <w:tc>
          <w:tcPr>
            <w:tcW w:w="1984" w:type="dxa"/>
            <w:tcBorders>
              <w:top w:val="nil"/>
              <w:left w:val="single" w:sz="4" w:space="0" w:color="auto"/>
              <w:bottom w:val="single" w:sz="4" w:space="0" w:color="auto"/>
              <w:right w:val="single" w:sz="4" w:space="0" w:color="auto"/>
            </w:tcBorders>
            <w:shd w:val="clear" w:color="auto" w:fill="auto"/>
            <w:vAlign w:val="bottom"/>
            <w:hideMark/>
          </w:tcPr>
          <w:p w:rsidR="00D07400" w:rsidRPr="00BB0C2F" w:rsidRDefault="00D07400" w:rsidP="001E6BD5">
            <w:pPr>
              <w:rPr>
                <w:rFonts w:ascii="Calibri" w:hAnsi="Calibri" w:cs="Calibri"/>
                <w:color w:val="000000"/>
                <w:lang w:eastAsia="es-ES"/>
              </w:rPr>
            </w:pPr>
            <w:r w:rsidRPr="00BB0C2F">
              <w:rPr>
                <w:rFonts w:ascii="Calibri" w:hAnsi="Calibri" w:cs="Calibri"/>
                <w:color w:val="000000"/>
                <w:lang w:eastAsia="es-ES"/>
              </w:rPr>
              <w:t>Coste de Medio por Empleado</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13.442,01</w:t>
            </w:r>
          </w:p>
        </w:tc>
        <w:tc>
          <w:tcPr>
            <w:tcW w:w="1884"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12.388,63</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16.001,23</w:t>
            </w:r>
          </w:p>
        </w:tc>
        <w:tc>
          <w:tcPr>
            <w:tcW w:w="1661" w:type="dxa"/>
            <w:tcBorders>
              <w:top w:val="nil"/>
              <w:left w:val="nil"/>
              <w:bottom w:val="single" w:sz="4" w:space="0" w:color="auto"/>
              <w:right w:val="single" w:sz="4" w:space="0" w:color="auto"/>
            </w:tcBorders>
            <w:shd w:val="clear" w:color="auto" w:fill="auto"/>
            <w:noWrap/>
            <w:vAlign w:val="bottom"/>
            <w:hideMark/>
          </w:tcPr>
          <w:p w:rsidR="00D07400" w:rsidRPr="00BB0C2F" w:rsidRDefault="00D07400" w:rsidP="001E6BD5">
            <w:pPr>
              <w:jc w:val="right"/>
              <w:rPr>
                <w:rFonts w:ascii="Calibri" w:hAnsi="Calibri" w:cs="Calibri"/>
                <w:color w:val="000000"/>
                <w:lang w:eastAsia="es-ES"/>
              </w:rPr>
            </w:pPr>
            <w:r w:rsidRPr="00BB0C2F">
              <w:rPr>
                <w:rFonts w:ascii="Calibri" w:hAnsi="Calibri" w:cs="Calibri"/>
                <w:color w:val="000000"/>
                <w:lang w:eastAsia="es-ES"/>
              </w:rPr>
              <w:t>20.936,80</w:t>
            </w:r>
          </w:p>
        </w:tc>
      </w:tr>
    </w:tbl>
    <w:p w:rsidR="00D07400" w:rsidRDefault="00D07400" w:rsidP="008F19A5">
      <w:pPr>
        <w:pStyle w:val="Textoindependiente"/>
        <w:spacing w:before="0" w:after="0" w:line="360" w:lineRule="auto"/>
        <w:rPr>
          <w:sz w:val="24"/>
          <w:szCs w:val="24"/>
          <w:lang w:val="es-ES_tradnl"/>
        </w:rPr>
      </w:pPr>
    </w:p>
    <w:p w:rsidR="005B2F3D" w:rsidRDefault="005B2F3D" w:rsidP="004F5467">
      <w:pPr>
        <w:pStyle w:val="Ttulo2"/>
        <w:rPr>
          <w:lang w:val="es-ES_tradnl"/>
        </w:rPr>
      </w:pPr>
      <w:bookmarkStart w:id="325" w:name="_Toc410916907"/>
      <w:bookmarkEnd w:id="301"/>
      <w:r>
        <w:rPr>
          <w:lang w:val="es-ES_tradnl"/>
        </w:rPr>
        <w:t xml:space="preserve">Centro B (el nombre real se omite para proteger la confidencialidad de los </w:t>
      </w:r>
      <w:r w:rsidR="00355237">
        <w:rPr>
          <w:lang w:val="es-ES_tradnl"/>
        </w:rPr>
        <w:t>datos</w:t>
      </w:r>
      <w:r>
        <w:rPr>
          <w:lang w:val="es-ES_tradnl"/>
        </w:rPr>
        <w:t>).</w:t>
      </w:r>
      <w:bookmarkEnd w:id="325"/>
    </w:p>
    <w:p w:rsidR="004F5467" w:rsidRPr="004F5467" w:rsidRDefault="004F5467" w:rsidP="004F5467">
      <w:pPr>
        <w:pStyle w:val="Textoindependiente"/>
        <w:rPr>
          <w:lang w:val="es-ES_tradnl"/>
        </w:rPr>
      </w:pPr>
    </w:p>
    <w:p w:rsidR="005B2F3D" w:rsidRDefault="005B2F3D" w:rsidP="005B2F3D">
      <w:pPr>
        <w:pStyle w:val="Textoindependiente"/>
        <w:spacing w:line="360" w:lineRule="auto"/>
        <w:rPr>
          <w:sz w:val="24"/>
          <w:szCs w:val="24"/>
          <w:lang w:val="es-ES_tradnl"/>
        </w:rPr>
      </w:pPr>
      <w:r w:rsidRPr="005B2F3D">
        <w:rPr>
          <w:sz w:val="24"/>
          <w:szCs w:val="24"/>
          <w:lang w:val="es-ES_tradnl"/>
        </w:rPr>
        <w:t>A</w:t>
      </w:r>
      <w:r w:rsidR="004E6459">
        <w:rPr>
          <w:sz w:val="24"/>
          <w:szCs w:val="24"/>
          <w:lang w:val="es-ES_tradnl"/>
        </w:rPr>
        <w:t xml:space="preserve"> continuación s</w:t>
      </w:r>
      <w:r w:rsidRPr="005B2F3D">
        <w:rPr>
          <w:sz w:val="24"/>
          <w:szCs w:val="24"/>
          <w:lang w:val="es-ES_tradnl"/>
        </w:rPr>
        <w:t>e exp</w:t>
      </w:r>
      <w:r w:rsidR="00F95E6E">
        <w:rPr>
          <w:sz w:val="24"/>
          <w:szCs w:val="24"/>
          <w:lang w:val="es-ES_tradnl"/>
        </w:rPr>
        <w:t>onen los resultados del centro B</w:t>
      </w:r>
      <w:r w:rsidRPr="005B2F3D">
        <w:rPr>
          <w:sz w:val="24"/>
          <w:szCs w:val="24"/>
          <w:lang w:val="es-ES_tradnl"/>
        </w:rPr>
        <w:t xml:space="preserve"> según el análisis llevado a cabo en el presente estudio, siguiendo la metodología detallada en el anexo II</w:t>
      </w:r>
      <w:r w:rsidR="006D35DD">
        <w:rPr>
          <w:sz w:val="24"/>
          <w:szCs w:val="24"/>
          <w:lang w:val="es-ES_tradnl"/>
        </w:rPr>
        <w:t>. Los datos corresponden a los años 2011-2013.</w:t>
      </w:r>
    </w:p>
    <w:tbl>
      <w:tblPr>
        <w:tblStyle w:val="Tablaconcuadrcula"/>
        <w:tblW w:w="0" w:type="auto"/>
        <w:tblLook w:val="04A0"/>
      </w:tblPr>
      <w:tblGrid>
        <w:gridCol w:w="8721"/>
      </w:tblGrid>
      <w:tr w:rsidR="00A527E8" w:rsidTr="00A527E8">
        <w:tc>
          <w:tcPr>
            <w:tcW w:w="8495" w:type="dxa"/>
          </w:tcPr>
          <w:p w:rsidR="00A527E8" w:rsidRDefault="00A527E8" w:rsidP="005B2F3D">
            <w:pPr>
              <w:pStyle w:val="Textoindependiente"/>
              <w:spacing w:line="360" w:lineRule="auto"/>
              <w:rPr>
                <w:sz w:val="24"/>
                <w:szCs w:val="24"/>
                <w:lang w:val="es-ES_tradnl"/>
              </w:rPr>
            </w:pPr>
          </w:p>
          <w:tbl>
            <w:tblPr>
              <w:tblW w:w="14260" w:type="dxa"/>
              <w:jc w:val="center"/>
              <w:tblCellMar>
                <w:left w:w="70" w:type="dxa"/>
                <w:right w:w="70" w:type="dxa"/>
              </w:tblCellMar>
              <w:tblLook w:val="04A0"/>
            </w:tblPr>
            <w:tblGrid>
              <w:gridCol w:w="1373"/>
              <w:gridCol w:w="1170"/>
              <w:gridCol w:w="1171"/>
              <w:gridCol w:w="1171"/>
              <w:gridCol w:w="1171"/>
              <w:gridCol w:w="1171"/>
              <w:gridCol w:w="1273"/>
            </w:tblGrid>
            <w:tr w:rsidR="00A527E8" w:rsidRPr="005B2B25" w:rsidTr="00A527E8">
              <w:trPr>
                <w:trHeight w:val="600"/>
                <w:jc w:val="center"/>
              </w:trPr>
              <w:tc>
                <w:tcPr>
                  <w:tcW w:w="2320" w:type="dxa"/>
                  <w:tcBorders>
                    <w:top w:val="nil"/>
                    <w:left w:val="nil"/>
                    <w:bottom w:val="nil"/>
                    <w:right w:val="nil"/>
                  </w:tcBorders>
                  <w:shd w:val="clear" w:color="auto" w:fill="auto"/>
                  <w:noWrap/>
                  <w:vAlign w:val="bottom"/>
                  <w:hideMark/>
                </w:tcPr>
                <w:p w:rsidR="00A527E8" w:rsidRPr="005B2B25" w:rsidRDefault="00A527E8" w:rsidP="00A527E8">
                  <w:pPr>
                    <w:rPr>
                      <w:sz w:val="24"/>
                      <w:szCs w:val="24"/>
                      <w:lang w:eastAsia="es-ES"/>
                    </w:rPr>
                  </w:pPr>
                </w:p>
              </w:tc>
              <w:tc>
                <w:tcPr>
                  <w:tcW w:w="1960"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Liquidez</w:t>
                  </w:r>
                </w:p>
              </w:tc>
              <w:tc>
                <w:tcPr>
                  <w:tcW w:w="1960" w:type="dxa"/>
                  <w:tcBorders>
                    <w:top w:val="single" w:sz="4" w:space="0" w:color="auto"/>
                    <w:left w:val="nil"/>
                    <w:bottom w:val="single" w:sz="4" w:space="0" w:color="auto"/>
                    <w:right w:val="single" w:sz="4" w:space="0" w:color="auto"/>
                  </w:tcBorders>
                  <w:shd w:val="clear" w:color="000000" w:fill="F2DCDB"/>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Solvencia</w:t>
                  </w:r>
                </w:p>
              </w:tc>
              <w:tc>
                <w:tcPr>
                  <w:tcW w:w="1960" w:type="dxa"/>
                  <w:tcBorders>
                    <w:top w:val="single" w:sz="4" w:space="0" w:color="auto"/>
                    <w:left w:val="nil"/>
                    <w:bottom w:val="single" w:sz="4" w:space="0" w:color="auto"/>
                    <w:right w:val="single" w:sz="4" w:space="0" w:color="auto"/>
                  </w:tcBorders>
                  <w:shd w:val="clear" w:color="000000" w:fill="F2DCDB"/>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Endeudamiento</w:t>
                  </w:r>
                </w:p>
              </w:tc>
              <w:tc>
                <w:tcPr>
                  <w:tcW w:w="1960" w:type="dxa"/>
                  <w:tcBorders>
                    <w:top w:val="single" w:sz="4" w:space="0" w:color="auto"/>
                    <w:left w:val="nil"/>
                    <w:bottom w:val="single" w:sz="4" w:space="0" w:color="auto"/>
                    <w:right w:val="single" w:sz="4" w:space="0" w:color="auto"/>
                  </w:tcBorders>
                  <w:shd w:val="clear" w:color="000000" w:fill="F2DCDB"/>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Rentabilidad</w:t>
                  </w:r>
                </w:p>
              </w:tc>
              <w:tc>
                <w:tcPr>
                  <w:tcW w:w="1960" w:type="dxa"/>
                  <w:tcBorders>
                    <w:top w:val="single" w:sz="4" w:space="0" w:color="auto"/>
                    <w:left w:val="nil"/>
                    <w:bottom w:val="single" w:sz="4" w:space="0" w:color="auto"/>
                    <w:right w:val="single" w:sz="4" w:space="0" w:color="auto"/>
                  </w:tcBorders>
                  <w:shd w:val="clear" w:color="000000" w:fill="F2DCDB"/>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Ventas (en euros)</w:t>
                  </w:r>
                </w:p>
              </w:tc>
              <w:tc>
                <w:tcPr>
                  <w:tcW w:w="2140" w:type="dxa"/>
                  <w:tcBorders>
                    <w:top w:val="single" w:sz="4" w:space="0" w:color="auto"/>
                    <w:left w:val="nil"/>
                    <w:bottom w:val="single" w:sz="4" w:space="0" w:color="auto"/>
                    <w:right w:val="single" w:sz="4" w:space="0" w:color="auto"/>
                  </w:tcBorders>
                  <w:shd w:val="clear" w:color="000000" w:fill="F2DCDB"/>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Beneficios (en euros)</w:t>
                  </w:r>
                </w:p>
              </w:tc>
            </w:tr>
            <w:tr w:rsidR="00A527E8" w:rsidRPr="005B2B25" w:rsidTr="00A527E8">
              <w:trPr>
                <w:trHeight w:val="6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2012</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2,32</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4,85</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0,26</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0,14</w:t>
                  </w:r>
                </w:p>
              </w:tc>
              <w:tc>
                <w:tcPr>
                  <w:tcW w:w="1960" w:type="dxa"/>
                  <w:tcBorders>
                    <w:top w:val="nil"/>
                    <w:left w:val="nil"/>
                    <w:bottom w:val="single" w:sz="4" w:space="0" w:color="auto"/>
                    <w:right w:val="single" w:sz="4" w:space="0" w:color="auto"/>
                  </w:tcBorders>
                  <w:shd w:val="clear" w:color="auto" w:fill="auto"/>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 xml:space="preserve">                 720.427,00   </w:t>
                  </w:r>
                </w:p>
              </w:tc>
              <w:tc>
                <w:tcPr>
                  <w:tcW w:w="2140" w:type="dxa"/>
                  <w:tcBorders>
                    <w:top w:val="nil"/>
                    <w:left w:val="nil"/>
                    <w:bottom w:val="single" w:sz="4" w:space="0" w:color="auto"/>
                    <w:right w:val="single" w:sz="4" w:space="0" w:color="auto"/>
                  </w:tcBorders>
                  <w:shd w:val="clear" w:color="auto" w:fill="auto"/>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 xml:space="preserve">                     100.944,00   </w:t>
                  </w:r>
                </w:p>
              </w:tc>
            </w:tr>
            <w:tr w:rsidR="00A527E8" w:rsidRPr="005B2B25" w:rsidTr="00A527E8">
              <w:trPr>
                <w:trHeight w:val="6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2011</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1,48</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4,68</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0,19</w:t>
                  </w:r>
                </w:p>
              </w:tc>
              <w:tc>
                <w:tcPr>
                  <w:tcW w:w="1960" w:type="dxa"/>
                  <w:tcBorders>
                    <w:top w:val="nil"/>
                    <w:left w:val="nil"/>
                    <w:bottom w:val="single" w:sz="4" w:space="0" w:color="auto"/>
                    <w:right w:val="single" w:sz="4" w:space="0" w:color="auto"/>
                  </w:tcBorders>
                  <w:shd w:val="clear" w:color="000000" w:fill="C4D79B"/>
                  <w:noWrap/>
                  <w:vAlign w:val="bottom"/>
                  <w:hideMark/>
                </w:tcPr>
                <w:p w:rsidR="00A527E8" w:rsidRPr="005B2B25" w:rsidRDefault="00A527E8" w:rsidP="00A527E8">
                  <w:pPr>
                    <w:jc w:val="right"/>
                    <w:rPr>
                      <w:rFonts w:ascii="Calibri" w:hAnsi="Calibri" w:cs="Calibri"/>
                      <w:color w:val="000000"/>
                      <w:sz w:val="18"/>
                      <w:szCs w:val="18"/>
                      <w:lang w:eastAsia="es-ES"/>
                    </w:rPr>
                  </w:pPr>
                  <w:r w:rsidRPr="005B2B25">
                    <w:rPr>
                      <w:rFonts w:ascii="Calibri" w:hAnsi="Calibri" w:cs="Calibri"/>
                      <w:color w:val="000000"/>
                      <w:sz w:val="18"/>
                      <w:szCs w:val="18"/>
                      <w:lang w:eastAsia="es-ES"/>
                    </w:rPr>
                    <w:t>0,12</w:t>
                  </w:r>
                </w:p>
              </w:tc>
              <w:tc>
                <w:tcPr>
                  <w:tcW w:w="1960" w:type="dxa"/>
                  <w:tcBorders>
                    <w:top w:val="nil"/>
                    <w:left w:val="nil"/>
                    <w:bottom w:val="single" w:sz="4" w:space="0" w:color="auto"/>
                    <w:right w:val="single" w:sz="4" w:space="0" w:color="auto"/>
                  </w:tcBorders>
                  <w:shd w:val="clear" w:color="auto" w:fill="auto"/>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 xml:space="preserve">                 700.486,02   </w:t>
                  </w:r>
                </w:p>
              </w:tc>
              <w:tc>
                <w:tcPr>
                  <w:tcW w:w="2140" w:type="dxa"/>
                  <w:tcBorders>
                    <w:top w:val="nil"/>
                    <w:left w:val="nil"/>
                    <w:bottom w:val="single" w:sz="4" w:space="0" w:color="auto"/>
                    <w:right w:val="single" w:sz="4" w:space="0" w:color="auto"/>
                  </w:tcBorders>
                  <w:shd w:val="clear" w:color="auto" w:fill="auto"/>
                  <w:noWrap/>
                  <w:vAlign w:val="bottom"/>
                  <w:hideMark/>
                </w:tcPr>
                <w:p w:rsidR="00A527E8" w:rsidRPr="005B2B25" w:rsidRDefault="00A527E8" w:rsidP="00A527E8">
                  <w:pPr>
                    <w:rPr>
                      <w:rFonts w:ascii="Calibri" w:hAnsi="Calibri" w:cs="Calibri"/>
                      <w:color w:val="000000"/>
                      <w:sz w:val="18"/>
                      <w:szCs w:val="18"/>
                      <w:lang w:eastAsia="es-ES"/>
                    </w:rPr>
                  </w:pPr>
                  <w:r w:rsidRPr="005B2B25">
                    <w:rPr>
                      <w:rFonts w:ascii="Calibri" w:hAnsi="Calibri" w:cs="Calibri"/>
                      <w:color w:val="000000"/>
                      <w:sz w:val="18"/>
                      <w:szCs w:val="18"/>
                      <w:lang w:eastAsia="es-ES"/>
                    </w:rPr>
                    <w:t xml:space="preserve">                        84.307,00   </w:t>
                  </w:r>
                </w:p>
              </w:tc>
            </w:tr>
          </w:tbl>
          <w:p w:rsidR="00A527E8" w:rsidRDefault="00A527E8" w:rsidP="005B2F3D">
            <w:pPr>
              <w:pStyle w:val="Textoindependiente"/>
              <w:spacing w:line="360" w:lineRule="auto"/>
              <w:rPr>
                <w:sz w:val="24"/>
                <w:szCs w:val="24"/>
                <w:lang w:val="es-ES_tradnl"/>
              </w:rPr>
            </w:pPr>
          </w:p>
          <w:p w:rsidR="00A527E8" w:rsidRDefault="00A527E8" w:rsidP="00A527E8">
            <w:pPr>
              <w:pStyle w:val="Textoindependiente"/>
              <w:spacing w:line="360" w:lineRule="auto"/>
              <w:jc w:val="center"/>
              <w:rPr>
                <w:sz w:val="24"/>
                <w:szCs w:val="24"/>
                <w:lang w:val="es-ES_tradnl"/>
              </w:rPr>
            </w:pPr>
            <w:r>
              <w:rPr>
                <w:noProof/>
                <w:lang w:eastAsia="es-ES"/>
              </w:rPr>
              <w:drawing>
                <wp:inline distT="0" distB="0" distL="0" distR="0">
                  <wp:extent cx="4791075" cy="1357313"/>
                  <wp:effectExtent l="0" t="0" r="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527E8" w:rsidRDefault="00A527E8" w:rsidP="00A527E8">
            <w:pPr>
              <w:pStyle w:val="Textoindependiente"/>
              <w:spacing w:line="360" w:lineRule="auto"/>
              <w:jc w:val="center"/>
              <w:rPr>
                <w:sz w:val="24"/>
                <w:szCs w:val="24"/>
                <w:lang w:val="es-ES_tradnl"/>
              </w:rPr>
            </w:pPr>
            <w:r>
              <w:rPr>
                <w:noProof/>
                <w:lang w:eastAsia="es-ES"/>
              </w:rPr>
              <w:drawing>
                <wp:inline distT="0" distB="0" distL="0" distR="0">
                  <wp:extent cx="4572000" cy="1357313"/>
                  <wp:effectExtent l="0" t="0" r="0" b="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527E8" w:rsidRDefault="00A527E8" w:rsidP="00A527E8">
            <w:pPr>
              <w:pStyle w:val="Textoindependiente"/>
              <w:spacing w:line="360" w:lineRule="auto"/>
              <w:jc w:val="center"/>
              <w:rPr>
                <w:sz w:val="24"/>
                <w:szCs w:val="24"/>
                <w:lang w:val="es-ES_tradnl"/>
              </w:rPr>
            </w:pPr>
            <w:r>
              <w:rPr>
                <w:noProof/>
                <w:lang w:eastAsia="es-ES"/>
              </w:rPr>
              <w:drawing>
                <wp:inline distT="0" distB="0" distL="0" distR="0">
                  <wp:extent cx="4791075" cy="1357313"/>
                  <wp:effectExtent l="0" t="0" r="0" b="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527E8" w:rsidRDefault="00A527E8" w:rsidP="00A527E8">
            <w:pPr>
              <w:pStyle w:val="Textoindependiente"/>
              <w:spacing w:line="360" w:lineRule="auto"/>
              <w:rPr>
                <w:sz w:val="24"/>
                <w:szCs w:val="24"/>
                <w:lang w:val="es-ES_tradnl"/>
              </w:rPr>
            </w:pPr>
          </w:p>
        </w:tc>
      </w:tr>
    </w:tbl>
    <w:p w:rsidR="005B00E1" w:rsidRPr="005B2F3D" w:rsidRDefault="005B00E1" w:rsidP="005B2F3D">
      <w:pPr>
        <w:pStyle w:val="Textoindependiente"/>
        <w:spacing w:line="360" w:lineRule="auto"/>
        <w:rPr>
          <w:sz w:val="24"/>
          <w:szCs w:val="24"/>
          <w:lang w:val="es-ES_tradnl"/>
        </w:rPr>
      </w:pPr>
    </w:p>
    <w:tbl>
      <w:tblPr>
        <w:tblStyle w:val="Tablaconcuadrcula"/>
        <w:tblW w:w="0" w:type="auto"/>
        <w:tblCellMar>
          <w:left w:w="70" w:type="dxa"/>
          <w:right w:w="70" w:type="dxa"/>
        </w:tblCellMar>
        <w:tblLook w:val="04A0"/>
      </w:tblPr>
      <w:tblGrid>
        <w:gridCol w:w="4306"/>
        <w:gridCol w:w="4339"/>
      </w:tblGrid>
      <w:tr w:rsidR="00F95E6E" w:rsidTr="004F5467">
        <w:tc>
          <w:tcPr>
            <w:tcW w:w="4231" w:type="dxa"/>
          </w:tcPr>
          <w:p w:rsidR="00F95E6E" w:rsidRDefault="00AC67C0" w:rsidP="004F5467">
            <w:pPr>
              <w:rPr>
                <w:sz w:val="24"/>
                <w:szCs w:val="24"/>
                <w:lang w:val="es-ES_tradnl"/>
              </w:rPr>
            </w:pPr>
            <w:r w:rsidRPr="00AC67C0">
              <w:rPr>
                <w:noProof/>
                <w:lang w:eastAsia="es-ES"/>
              </w:rPr>
              <w:pict>
                <v:shape id="Text Box 226" o:spid="_x0000_s1034" type="#_x0000_t202" style="position:absolute;margin-left:-.9pt;margin-top:.65pt;width:181.65pt;height:3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" fillcolor="white [3201]" stroked="f" strokeweight=".5pt">
                  <v:textbox>
                    <w:txbxContent>
                      <w:p w:rsidR="003C4DD0" w:rsidRPr="00BB0C2F" w:rsidRDefault="003C4DD0" w:rsidP="00F95E6E">
                        <w:pPr>
                          <w:rPr>
                            <w:sz w:val="18"/>
                            <w:szCs w:val="18"/>
                            <w:lang w:val="es-ES_tradnl"/>
                          </w:rPr>
                        </w:pPr>
                        <w:r>
                          <w:rPr>
                            <w:sz w:val="18"/>
                            <w:szCs w:val="18"/>
                            <w:lang w:val="es-ES_tradnl"/>
                          </w:rPr>
                          <w:t>Evolución de Liquidez y Solvencia</w:t>
                        </w:r>
                      </w:p>
                    </w:txbxContent>
                  </v:textbox>
                </v:shape>
              </w:pict>
            </w:r>
          </w:p>
          <w:p w:rsidR="00F95E6E" w:rsidRDefault="00F95E6E" w:rsidP="004F5467">
            <w:pPr>
              <w:rPr>
                <w:sz w:val="24"/>
                <w:szCs w:val="24"/>
                <w:lang w:val="es-ES_tradnl"/>
              </w:rPr>
            </w:pPr>
            <w:r>
              <w:rPr>
                <w:noProof/>
                <w:lang w:eastAsia="es-ES"/>
              </w:rPr>
              <w:drawing>
                <wp:inline distT="0" distB="0" distL="0" distR="0">
                  <wp:extent cx="2615565" cy="2126512"/>
                  <wp:effectExtent l="0" t="0" r="0" b="762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4264" w:type="dxa"/>
          </w:tcPr>
          <w:p w:rsidR="00F95E6E" w:rsidRDefault="00AC67C0" w:rsidP="004F5467">
            <w:pPr>
              <w:rPr>
                <w:sz w:val="24"/>
                <w:szCs w:val="24"/>
                <w:lang w:val="es-ES_tradnl"/>
              </w:rPr>
            </w:pPr>
            <w:r w:rsidRPr="00AC67C0">
              <w:rPr>
                <w:noProof/>
                <w:lang w:eastAsia="es-ES"/>
              </w:rPr>
              <w:pict>
                <v:shape id="Text Box 227" o:spid="_x0000_s1031" type="#_x0000_t202" style="position:absolute;margin-left:-.65pt;margin-top:.65pt;width:181.65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" fillcolor="white [3201]" stroked="f" strokeweight=".5pt">
                  <v:textbox>
                    <w:txbxContent>
                      <w:p w:rsidR="003C4DD0" w:rsidRPr="00BB0C2F" w:rsidRDefault="003C4DD0" w:rsidP="00F95E6E">
                        <w:pPr>
                          <w:rPr>
                            <w:sz w:val="18"/>
                            <w:szCs w:val="18"/>
                            <w:lang w:val="es-ES_tradnl"/>
                          </w:rPr>
                        </w:pPr>
                        <w:r>
                          <w:rPr>
                            <w:sz w:val="18"/>
                            <w:szCs w:val="18"/>
                            <w:lang w:val="es-ES_tradnl"/>
                          </w:rPr>
                          <w:t>Evolución de E</w:t>
                        </w:r>
                        <w:r w:rsidRPr="00BB0C2F">
                          <w:rPr>
                            <w:sz w:val="18"/>
                            <w:szCs w:val="18"/>
                            <w:lang w:val="es-ES_tradnl"/>
                          </w:rPr>
                          <w:t>ndeudamiento y Rentabilidad</w:t>
                        </w:r>
                      </w:p>
                    </w:txbxContent>
                  </v:textbox>
                </v:shape>
              </w:pict>
            </w:r>
          </w:p>
          <w:p w:rsidR="00F95E6E" w:rsidRDefault="00F95E6E" w:rsidP="004F5467">
            <w:pPr>
              <w:rPr>
                <w:sz w:val="24"/>
                <w:szCs w:val="24"/>
                <w:lang w:val="es-ES_tradnl"/>
              </w:rPr>
            </w:pPr>
            <w:r>
              <w:rPr>
                <w:noProof/>
                <w:lang w:eastAsia="es-ES"/>
              </w:rPr>
              <w:drawing>
                <wp:inline distT="0" distB="0" distL="0" distR="0">
                  <wp:extent cx="2687955" cy="2083642"/>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F95E6E" w:rsidTr="004F5467">
        <w:tc>
          <w:tcPr>
            <w:tcW w:w="4231" w:type="dxa"/>
          </w:tcPr>
          <w:p w:rsidR="00A527E8" w:rsidRDefault="00AC67C0" w:rsidP="004F5467">
            <w:pPr>
              <w:rPr>
                <w:sz w:val="24"/>
                <w:szCs w:val="24"/>
                <w:lang w:val="es-ES_tradnl"/>
              </w:rPr>
            </w:pPr>
            <w:r w:rsidRPr="00AC67C0">
              <w:rPr>
                <w:noProof/>
                <w:lang w:eastAsia="es-ES"/>
              </w:rPr>
              <w:pict>
                <v:shape id="Text Box 228" o:spid="_x0000_s1032" type="#_x0000_t202" style="position:absolute;margin-left:-1.15pt;margin-top:6.25pt;width:206.7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" fillcolor="white [3201]" stroked="f" strokeweight=".5pt">
                  <v:textbox>
                    <w:txbxContent>
                      <w:p w:rsidR="003C4DD0" w:rsidRPr="00BB0C2F" w:rsidRDefault="003C4DD0" w:rsidP="00F95E6E">
                        <w:pPr>
                          <w:rPr>
                            <w:sz w:val="18"/>
                            <w:szCs w:val="18"/>
                            <w:lang w:val="es-ES_tradnl"/>
                          </w:rPr>
                        </w:pPr>
                        <w:r>
                          <w:rPr>
                            <w:sz w:val="18"/>
                            <w:szCs w:val="18"/>
                            <w:lang w:val="es-ES_tradnl"/>
                          </w:rPr>
                          <w:t>Evolución de Beneficios y Ventas</w:t>
                        </w:r>
                      </w:p>
                    </w:txbxContent>
                  </v:textbox>
                </v:shape>
              </w:pict>
            </w:r>
          </w:p>
          <w:p w:rsidR="00A527E8" w:rsidRDefault="00A527E8" w:rsidP="004F5467">
            <w:pPr>
              <w:rPr>
                <w:sz w:val="24"/>
                <w:szCs w:val="24"/>
                <w:lang w:val="es-ES_tradnl"/>
              </w:rPr>
            </w:pPr>
          </w:p>
          <w:p w:rsidR="00F95E6E" w:rsidRDefault="00F95E6E" w:rsidP="004F5467">
            <w:pPr>
              <w:rPr>
                <w:sz w:val="24"/>
                <w:szCs w:val="24"/>
                <w:lang w:val="es-ES_tradnl"/>
              </w:rPr>
            </w:pPr>
            <w:r>
              <w:rPr>
                <w:noProof/>
                <w:lang w:eastAsia="es-ES"/>
              </w:rPr>
              <w:drawing>
                <wp:inline distT="0" distB="0" distL="0" distR="0">
                  <wp:extent cx="2658110" cy="2307266"/>
                  <wp:effectExtent l="0" t="0" r="889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95E6E" w:rsidRDefault="00F95E6E" w:rsidP="004F5467">
            <w:pPr>
              <w:rPr>
                <w:sz w:val="24"/>
                <w:szCs w:val="24"/>
                <w:lang w:val="es-ES_tradnl"/>
              </w:rPr>
            </w:pPr>
          </w:p>
        </w:tc>
        <w:tc>
          <w:tcPr>
            <w:tcW w:w="4264" w:type="dxa"/>
          </w:tcPr>
          <w:p w:rsidR="00F95E6E" w:rsidRDefault="00AC67C0" w:rsidP="00A527E8">
            <w:pPr>
              <w:rPr>
                <w:sz w:val="24"/>
                <w:szCs w:val="24"/>
                <w:lang w:val="es-ES_tradnl"/>
              </w:rPr>
            </w:pPr>
            <w:r w:rsidRPr="00AC67C0">
              <w:rPr>
                <w:noProof/>
                <w:lang w:eastAsia="es-ES"/>
              </w:rPr>
              <w:pict>
                <v:shape id="Text Box 229" o:spid="_x0000_s1033" type="#_x0000_t202" style="position:absolute;margin-left:.3pt;margin-top:1pt;width:200.6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" fillcolor="white [3201]" stroked="f" strokeweight=".5pt">
                  <v:textbox>
                    <w:txbxContent>
                      <w:p w:rsidR="003C4DD0" w:rsidRPr="00BB0C2F" w:rsidRDefault="003C4DD0" w:rsidP="00F95E6E">
                        <w:pPr>
                          <w:rPr>
                            <w:sz w:val="18"/>
                            <w:szCs w:val="18"/>
                            <w:lang w:val="es-ES_tradnl"/>
                          </w:rPr>
                        </w:pPr>
                        <w:r>
                          <w:rPr>
                            <w:sz w:val="18"/>
                            <w:szCs w:val="18"/>
                            <w:lang w:val="es-ES_tradnl"/>
                          </w:rPr>
                          <w:t>Evolución en el número de empleados con discapacidad con contrato indefinido</w:t>
                        </w:r>
                      </w:p>
                    </w:txbxContent>
                  </v:textbox>
                </v:shape>
              </w:pict>
            </w:r>
            <w:r w:rsidR="00A527E8">
              <w:rPr>
                <w:noProof/>
                <w:lang w:eastAsia="es-ES"/>
              </w:rPr>
              <w:drawing>
                <wp:inline distT="0" distB="0" distL="0" distR="0">
                  <wp:extent cx="2519680" cy="2649855"/>
                  <wp:effectExtent l="0" t="0" r="0" b="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F95E6E" w:rsidTr="004F5467">
        <w:tc>
          <w:tcPr>
            <w:tcW w:w="8495" w:type="dxa"/>
            <w:gridSpan w:val="2"/>
          </w:tcPr>
          <w:p w:rsidR="00F95E6E" w:rsidRDefault="00F95E6E" w:rsidP="004F5467">
            <w:pPr>
              <w:rPr>
                <w:sz w:val="24"/>
                <w:szCs w:val="24"/>
                <w:lang w:val="es-ES_tradnl"/>
              </w:rPr>
            </w:pPr>
          </w:p>
          <w:p w:rsidR="004F5467" w:rsidRDefault="004F5467" w:rsidP="004F5467">
            <w:pPr>
              <w:rPr>
                <w:sz w:val="24"/>
                <w:szCs w:val="24"/>
                <w:lang w:val="es-ES_tradnl"/>
              </w:rPr>
            </w:pPr>
            <w:r>
              <w:rPr>
                <w:noProof/>
                <w:lang w:eastAsia="es-ES"/>
              </w:rPr>
              <w:drawing>
                <wp:inline distT="0" distB="0" distL="0" distR="0">
                  <wp:extent cx="5400040" cy="2115879"/>
                  <wp:effectExtent l="0" t="0" r="0"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95E6E" w:rsidRDefault="00F95E6E" w:rsidP="004F5467">
            <w:pPr>
              <w:rPr>
                <w:sz w:val="24"/>
                <w:szCs w:val="24"/>
                <w:lang w:val="es-ES_tradnl"/>
              </w:rPr>
            </w:pPr>
          </w:p>
        </w:tc>
      </w:tr>
    </w:tbl>
    <w:p w:rsidR="004F5467" w:rsidRDefault="004F5467" w:rsidP="004F5467">
      <w:pPr>
        <w:pStyle w:val="Textoindependiente"/>
        <w:spacing w:before="0" w:after="0" w:line="360" w:lineRule="auto"/>
        <w:rPr>
          <w:sz w:val="24"/>
          <w:szCs w:val="24"/>
          <w:lang w:val="es-ES_tradnl"/>
        </w:rPr>
      </w:pPr>
    </w:p>
    <w:p w:rsidR="004F5467" w:rsidRPr="008F19A5" w:rsidRDefault="004F5467" w:rsidP="004F5467">
      <w:pPr>
        <w:pStyle w:val="Textoindependiente"/>
        <w:spacing w:before="0" w:after="0" w:line="360" w:lineRule="auto"/>
        <w:rPr>
          <w:sz w:val="24"/>
          <w:szCs w:val="24"/>
          <w:lang w:val="es-ES_tradnl"/>
        </w:rPr>
      </w:pPr>
      <w:r w:rsidRPr="008F19A5">
        <w:rPr>
          <w:sz w:val="24"/>
          <w:szCs w:val="24"/>
          <w:lang w:val="es-ES_tradnl"/>
        </w:rPr>
        <w:t xml:space="preserve">A continuación se exponen algunos datos comparativos entre el rendimiento del centro A y su sector de </w:t>
      </w:r>
      <w:r w:rsidR="00E63F68">
        <w:rPr>
          <w:sz w:val="24"/>
          <w:szCs w:val="24"/>
          <w:lang w:val="es-ES_tradnl"/>
        </w:rPr>
        <w:t>actividad.</w:t>
      </w:r>
    </w:p>
    <w:p w:rsidR="004F5467" w:rsidRDefault="004F5467" w:rsidP="004F5467">
      <w:pPr>
        <w:pStyle w:val="Textoindependiente"/>
        <w:spacing w:before="0" w:after="0" w:line="360" w:lineRule="auto"/>
        <w:rPr>
          <w:sz w:val="24"/>
          <w:szCs w:val="24"/>
          <w:lang w:val="es-ES_tradnl"/>
        </w:rPr>
      </w:pPr>
      <w:r>
        <w:rPr>
          <w:sz w:val="24"/>
          <w:szCs w:val="24"/>
          <w:lang w:val="es-ES_tradnl"/>
        </w:rPr>
        <w:t xml:space="preserve">Sector </w:t>
      </w:r>
      <w:r w:rsidRPr="008F19A5">
        <w:rPr>
          <w:sz w:val="24"/>
          <w:szCs w:val="24"/>
          <w:lang w:val="es-ES_tradnl"/>
        </w:rPr>
        <w:t xml:space="preserve">CNAE del </w:t>
      </w:r>
      <w:r>
        <w:rPr>
          <w:sz w:val="24"/>
          <w:szCs w:val="24"/>
          <w:lang w:val="es-ES_tradnl"/>
        </w:rPr>
        <w:t>centro B</w:t>
      </w:r>
      <w:r w:rsidRPr="008F19A5">
        <w:rPr>
          <w:sz w:val="24"/>
          <w:szCs w:val="24"/>
          <w:lang w:val="es-ES_tradnl"/>
        </w:rPr>
        <w:t xml:space="preserve">: </w:t>
      </w:r>
      <w:r>
        <w:rPr>
          <w:sz w:val="24"/>
          <w:szCs w:val="24"/>
          <w:lang w:val="es-ES_tradnl"/>
        </w:rPr>
        <w:t>5590 Otros alojamientos</w:t>
      </w:r>
    </w:p>
    <w:p w:rsidR="00301D39" w:rsidRDefault="00301D39">
      <w:pPr>
        <w:rPr>
          <w:sz w:val="24"/>
          <w:szCs w:val="24"/>
          <w:lang w:val="es-ES_tradnl"/>
        </w:rPr>
      </w:pPr>
      <w:r>
        <w:rPr>
          <w:sz w:val="24"/>
          <w:szCs w:val="24"/>
          <w:lang w:val="es-ES_tradnl"/>
        </w:rPr>
        <w:br w:type="page"/>
      </w:r>
    </w:p>
    <w:p w:rsidR="004F5467" w:rsidRDefault="004F5467" w:rsidP="004F5467">
      <w:pPr>
        <w:pStyle w:val="Textoindependiente"/>
        <w:spacing w:before="0" w:after="0" w:line="360" w:lineRule="auto"/>
        <w:rPr>
          <w:sz w:val="24"/>
          <w:szCs w:val="24"/>
          <w:lang w:val="es-ES_tradnl"/>
        </w:rPr>
      </w:pPr>
    </w:p>
    <w:tbl>
      <w:tblPr>
        <w:tblW w:w="8268" w:type="dxa"/>
        <w:tblCellMar>
          <w:left w:w="70" w:type="dxa"/>
          <w:right w:w="70" w:type="dxa"/>
        </w:tblCellMar>
        <w:tblLook w:val="04A0"/>
      </w:tblPr>
      <w:tblGrid>
        <w:gridCol w:w="1884"/>
        <w:gridCol w:w="1596"/>
        <w:gridCol w:w="1596"/>
        <w:gridCol w:w="1596"/>
        <w:gridCol w:w="1596"/>
      </w:tblGrid>
      <w:tr w:rsidR="004F5467" w:rsidRPr="0077265E" w:rsidTr="004F5467">
        <w:trPr>
          <w:trHeight w:val="870"/>
        </w:trPr>
        <w:tc>
          <w:tcPr>
            <w:tcW w:w="1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467" w:rsidRPr="0077265E" w:rsidRDefault="004F5467" w:rsidP="004F5467">
            <w:pPr>
              <w:rPr>
                <w:rFonts w:ascii="Calibri" w:hAnsi="Calibri" w:cs="Calibri"/>
                <w:color w:val="000000"/>
                <w:lang w:eastAsia="es-ES"/>
              </w:rPr>
            </w:pPr>
            <w:r w:rsidRPr="0077265E">
              <w:rPr>
                <w:rFonts w:ascii="Calibri" w:hAnsi="Calibri" w:cs="Calibri"/>
                <w:color w:val="000000"/>
                <w:lang w:eastAsia="es-ES"/>
              </w:rPr>
              <w:t> </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4F5467" w:rsidRPr="0077265E" w:rsidRDefault="004F5467" w:rsidP="004F5467">
            <w:pPr>
              <w:rPr>
                <w:rFonts w:ascii="Calibri" w:hAnsi="Calibri" w:cs="Calibri"/>
                <w:b/>
                <w:bCs/>
                <w:color w:val="002060"/>
                <w:lang w:eastAsia="es-ES"/>
              </w:rPr>
            </w:pPr>
            <w:r w:rsidRPr="0077265E">
              <w:rPr>
                <w:rFonts w:ascii="Calibri" w:hAnsi="Calibri" w:cs="Calibri"/>
                <w:b/>
                <w:bCs/>
                <w:color w:val="002060"/>
                <w:lang w:eastAsia="es-ES"/>
              </w:rPr>
              <w:t>Compañía</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4F5467" w:rsidRPr="0077265E" w:rsidRDefault="004F5467" w:rsidP="004F5467">
            <w:pPr>
              <w:rPr>
                <w:rFonts w:ascii="Calibri" w:hAnsi="Calibri" w:cs="Calibri"/>
                <w:b/>
                <w:bCs/>
                <w:color w:val="002060"/>
                <w:lang w:eastAsia="es-ES"/>
              </w:rPr>
            </w:pPr>
            <w:r w:rsidRPr="0077265E">
              <w:rPr>
                <w:rFonts w:ascii="Calibri" w:hAnsi="Calibri" w:cs="Calibri"/>
                <w:b/>
                <w:bCs/>
                <w:color w:val="002060"/>
                <w:lang w:eastAsia="es-ES"/>
              </w:rPr>
              <w:t>Percentil 25</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4F5467" w:rsidRPr="0077265E" w:rsidRDefault="004F5467" w:rsidP="004F5467">
            <w:pPr>
              <w:rPr>
                <w:rFonts w:ascii="Calibri" w:hAnsi="Calibri" w:cs="Calibri"/>
                <w:b/>
                <w:bCs/>
                <w:color w:val="002060"/>
                <w:lang w:eastAsia="es-ES"/>
              </w:rPr>
            </w:pPr>
            <w:r w:rsidRPr="0077265E">
              <w:rPr>
                <w:rFonts w:ascii="Calibri" w:hAnsi="Calibri" w:cs="Calibri"/>
                <w:b/>
                <w:bCs/>
                <w:color w:val="002060"/>
                <w:lang w:eastAsia="es-ES"/>
              </w:rPr>
              <w:t>Percentil 50</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4F5467" w:rsidRPr="0077265E" w:rsidRDefault="004F5467" w:rsidP="004F5467">
            <w:pPr>
              <w:rPr>
                <w:rFonts w:ascii="Calibri" w:hAnsi="Calibri" w:cs="Calibri"/>
                <w:b/>
                <w:bCs/>
                <w:color w:val="002060"/>
                <w:lang w:eastAsia="es-ES"/>
              </w:rPr>
            </w:pPr>
            <w:r w:rsidRPr="0077265E">
              <w:rPr>
                <w:rFonts w:ascii="Calibri" w:hAnsi="Calibri" w:cs="Calibri"/>
                <w:b/>
                <w:bCs/>
                <w:color w:val="002060"/>
                <w:lang w:eastAsia="es-ES"/>
              </w:rPr>
              <w:t>Percentil 75</w:t>
            </w:r>
          </w:p>
        </w:tc>
      </w:tr>
      <w:tr w:rsidR="004F5467" w:rsidRPr="0077265E" w:rsidTr="004F5467">
        <w:trPr>
          <w:trHeight w:val="495"/>
        </w:trPr>
        <w:tc>
          <w:tcPr>
            <w:tcW w:w="1884" w:type="dxa"/>
            <w:tcBorders>
              <w:top w:val="nil"/>
              <w:left w:val="single" w:sz="4" w:space="0" w:color="auto"/>
              <w:bottom w:val="single" w:sz="4" w:space="0" w:color="auto"/>
              <w:right w:val="single" w:sz="4" w:space="0" w:color="auto"/>
            </w:tcBorders>
            <w:shd w:val="clear" w:color="auto" w:fill="auto"/>
            <w:vAlign w:val="bottom"/>
            <w:hideMark/>
          </w:tcPr>
          <w:p w:rsidR="004F5467" w:rsidRPr="0077265E" w:rsidRDefault="004F5467" w:rsidP="004F5467">
            <w:pPr>
              <w:rPr>
                <w:rFonts w:ascii="Calibri" w:hAnsi="Calibri" w:cs="Calibri"/>
                <w:color w:val="000000"/>
                <w:lang w:eastAsia="es-ES"/>
              </w:rPr>
            </w:pPr>
            <w:r w:rsidRPr="0077265E">
              <w:rPr>
                <w:rFonts w:ascii="Calibri" w:hAnsi="Calibri" w:cs="Calibri"/>
                <w:color w:val="000000"/>
                <w:lang w:eastAsia="es-ES"/>
              </w:rPr>
              <w:t>Fondo de Maniobra (€)</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269.713,58</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-86.615,42</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-7.151,02</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40.443,51</w:t>
            </w:r>
          </w:p>
        </w:tc>
      </w:tr>
      <w:tr w:rsidR="004F5467" w:rsidRPr="0077265E" w:rsidTr="004F5467">
        <w:trPr>
          <w:trHeight w:val="360"/>
        </w:trPr>
        <w:tc>
          <w:tcPr>
            <w:tcW w:w="1884" w:type="dxa"/>
            <w:tcBorders>
              <w:top w:val="nil"/>
              <w:left w:val="single" w:sz="4" w:space="0" w:color="auto"/>
              <w:bottom w:val="single" w:sz="4" w:space="0" w:color="auto"/>
              <w:right w:val="single" w:sz="4" w:space="0" w:color="auto"/>
            </w:tcBorders>
            <w:shd w:val="clear" w:color="auto" w:fill="auto"/>
            <w:vAlign w:val="bottom"/>
            <w:hideMark/>
          </w:tcPr>
          <w:p w:rsidR="004F5467" w:rsidRPr="0077265E" w:rsidRDefault="004F5467" w:rsidP="004F5467">
            <w:pPr>
              <w:rPr>
                <w:rFonts w:ascii="Calibri" w:hAnsi="Calibri" w:cs="Calibri"/>
                <w:color w:val="000000"/>
                <w:lang w:eastAsia="es-ES"/>
              </w:rPr>
            </w:pPr>
            <w:r w:rsidRPr="0077265E">
              <w:rPr>
                <w:rFonts w:ascii="Calibri" w:hAnsi="Calibri" w:cs="Calibri"/>
                <w:color w:val="000000"/>
                <w:lang w:eastAsia="es-ES"/>
              </w:rPr>
              <w:t>Ratio de Liquidez</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356,26</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29,87</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82,2</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212,94</w:t>
            </w:r>
          </w:p>
        </w:tc>
      </w:tr>
      <w:tr w:rsidR="004F5467" w:rsidRPr="0077265E" w:rsidTr="004F5467">
        <w:trPr>
          <w:trHeight w:val="675"/>
        </w:trPr>
        <w:tc>
          <w:tcPr>
            <w:tcW w:w="1884" w:type="dxa"/>
            <w:tcBorders>
              <w:top w:val="nil"/>
              <w:left w:val="single" w:sz="4" w:space="0" w:color="auto"/>
              <w:bottom w:val="single" w:sz="4" w:space="0" w:color="auto"/>
              <w:right w:val="single" w:sz="4" w:space="0" w:color="auto"/>
            </w:tcBorders>
            <w:shd w:val="clear" w:color="auto" w:fill="auto"/>
            <w:vAlign w:val="bottom"/>
            <w:hideMark/>
          </w:tcPr>
          <w:p w:rsidR="004F5467" w:rsidRPr="0077265E" w:rsidRDefault="004F5467" w:rsidP="004F5467">
            <w:pPr>
              <w:rPr>
                <w:rFonts w:ascii="Calibri" w:hAnsi="Calibri" w:cs="Calibri"/>
                <w:color w:val="000000"/>
                <w:lang w:eastAsia="es-ES"/>
              </w:rPr>
            </w:pPr>
            <w:r w:rsidRPr="0077265E">
              <w:rPr>
                <w:rFonts w:ascii="Calibri" w:hAnsi="Calibri" w:cs="Calibri"/>
                <w:color w:val="000000"/>
                <w:lang w:eastAsia="es-ES"/>
              </w:rPr>
              <w:t>Facturación Media por Empleado</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30.095,85</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27.375,75</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52.753,46</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81.005,41</w:t>
            </w:r>
          </w:p>
        </w:tc>
      </w:tr>
      <w:tr w:rsidR="004F5467" w:rsidRPr="0077265E" w:rsidTr="004F5467">
        <w:trPr>
          <w:trHeight w:val="645"/>
        </w:trPr>
        <w:tc>
          <w:tcPr>
            <w:tcW w:w="1884" w:type="dxa"/>
            <w:tcBorders>
              <w:top w:val="nil"/>
              <w:left w:val="single" w:sz="4" w:space="0" w:color="auto"/>
              <w:bottom w:val="single" w:sz="4" w:space="0" w:color="auto"/>
              <w:right w:val="single" w:sz="4" w:space="0" w:color="auto"/>
            </w:tcBorders>
            <w:shd w:val="clear" w:color="auto" w:fill="auto"/>
            <w:vAlign w:val="bottom"/>
            <w:hideMark/>
          </w:tcPr>
          <w:p w:rsidR="004F5467" w:rsidRPr="0077265E" w:rsidRDefault="004F5467" w:rsidP="004F5467">
            <w:pPr>
              <w:rPr>
                <w:rFonts w:ascii="Calibri" w:hAnsi="Calibri" w:cs="Calibri"/>
                <w:color w:val="000000"/>
                <w:lang w:eastAsia="es-ES"/>
              </w:rPr>
            </w:pPr>
            <w:r w:rsidRPr="0077265E">
              <w:rPr>
                <w:rFonts w:ascii="Calibri" w:hAnsi="Calibri" w:cs="Calibri"/>
                <w:color w:val="000000"/>
                <w:lang w:eastAsia="es-ES"/>
              </w:rPr>
              <w:t>Coste Medio por Empleado</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14.516,34</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5.462,30</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17.601,74</w:t>
            </w:r>
          </w:p>
        </w:tc>
        <w:tc>
          <w:tcPr>
            <w:tcW w:w="1596" w:type="dxa"/>
            <w:tcBorders>
              <w:top w:val="nil"/>
              <w:left w:val="nil"/>
              <w:bottom w:val="single" w:sz="4" w:space="0" w:color="auto"/>
              <w:right w:val="single" w:sz="4" w:space="0" w:color="auto"/>
            </w:tcBorders>
            <w:shd w:val="clear" w:color="auto" w:fill="auto"/>
            <w:noWrap/>
            <w:vAlign w:val="bottom"/>
            <w:hideMark/>
          </w:tcPr>
          <w:p w:rsidR="004F5467" w:rsidRPr="0077265E" w:rsidRDefault="004F5467" w:rsidP="004F5467">
            <w:pPr>
              <w:jc w:val="right"/>
              <w:rPr>
                <w:rFonts w:ascii="Calibri" w:hAnsi="Calibri" w:cs="Calibri"/>
                <w:color w:val="000000"/>
                <w:lang w:eastAsia="es-ES"/>
              </w:rPr>
            </w:pPr>
            <w:r w:rsidRPr="0077265E">
              <w:rPr>
                <w:rFonts w:ascii="Calibri" w:hAnsi="Calibri" w:cs="Calibri"/>
                <w:color w:val="000000"/>
                <w:lang w:eastAsia="es-ES"/>
              </w:rPr>
              <w:t>25.116,08</w:t>
            </w:r>
          </w:p>
        </w:tc>
      </w:tr>
    </w:tbl>
    <w:p w:rsidR="004F5467" w:rsidRDefault="004F5467" w:rsidP="004F5467">
      <w:pPr>
        <w:pStyle w:val="Textoindependiente"/>
        <w:spacing w:before="0" w:after="0" w:line="360" w:lineRule="auto"/>
        <w:rPr>
          <w:sz w:val="24"/>
          <w:szCs w:val="24"/>
          <w:lang w:val="es-ES_tradnl"/>
        </w:rPr>
      </w:pPr>
      <w:r>
        <w:rPr>
          <w:sz w:val="24"/>
          <w:szCs w:val="24"/>
          <w:lang w:val="es-ES_tradnl"/>
        </w:rPr>
        <w:t>,</w:t>
      </w:r>
    </w:p>
    <w:p w:rsidR="005B2F3D" w:rsidRDefault="005B2F3D" w:rsidP="005B2F3D">
      <w:pPr>
        <w:pStyle w:val="Textoindependiente"/>
        <w:rPr>
          <w:lang w:val="es-ES_tradnl"/>
        </w:rPr>
      </w:pPr>
    </w:p>
    <w:p w:rsidR="000F2C9E" w:rsidRPr="005314FA" w:rsidRDefault="000F2C9E" w:rsidP="000F2C9E">
      <w:pPr>
        <w:pStyle w:val="Ttulo1"/>
        <w:rPr>
          <w:lang w:val="es-ES_tradnl"/>
        </w:rPr>
      </w:pPr>
      <w:bookmarkStart w:id="326" w:name="_Toc410916908"/>
      <w:r>
        <w:rPr>
          <w:lang w:val="es-ES_tradnl"/>
        </w:rPr>
        <w:t xml:space="preserve">Anexo II: Dimensiones e Indicadores Utilizados en la </w:t>
      </w:r>
      <w:r w:rsidRPr="00BE20A7">
        <w:rPr>
          <w:lang w:val="es-ES_tradnl"/>
        </w:rPr>
        <w:t xml:space="preserve">Evaluación de los </w:t>
      </w:r>
      <w:r w:rsidR="00263316">
        <w:rPr>
          <w:lang w:val="es-ES_tradnl"/>
        </w:rPr>
        <w:t>Centros Especiales de Empleo</w:t>
      </w:r>
      <w:bookmarkEnd w:id="326"/>
    </w:p>
    <w:p w:rsidR="000F2C9E" w:rsidRPr="00606984" w:rsidRDefault="000F2C9E" w:rsidP="000F2C9E">
      <w:pPr>
        <w:pStyle w:val="Ttulo2"/>
        <w:rPr>
          <w:rFonts w:eastAsia="Calibri"/>
          <w:lang w:val="es-ES_tradnl"/>
        </w:rPr>
      </w:pPr>
      <w:bookmarkStart w:id="327" w:name="_Toc398713484"/>
      <w:bookmarkStart w:id="328" w:name="_Toc410916909"/>
      <w:r w:rsidRPr="00606984">
        <w:rPr>
          <w:rFonts w:eastAsia="Calibri"/>
          <w:lang w:val="es-ES_tradnl"/>
        </w:rPr>
        <w:t>Evaluación financiera</w:t>
      </w:r>
      <w:bookmarkEnd w:id="327"/>
      <w:bookmarkEnd w:id="328"/>
    </w:p>
    <w:p w:rsidR="000F2C9E" w:rsidRPr="00606984" w:rsidRDefault="000F2C9E" w:rsidP="000F2C9E">
      <w:pPr>
        <w:rPr>
          <w:b/>
          <w:sz w:val="28"/>
          <w:szCs w:val="28"/>
          <w:lang w:val="es-ES_tradnl"/>
        </w:rPr>
      </w:pPr>
    </w:p>
    <w:p w:rsidR="000F2C9E" w:rsidRPr="00BE20A7" w:rsidRDefault="000F2C9E" w:rsidP="000F2C9E">
      <w:pPr>
        <w:rPr>
          <w:i/>
          <w:sz w:val="24"/>
          <w:szCs w:val="24"/>
          <w:lang w:val="es-ES_tradnl"/>
        </w:rPr>
      </w:pPr>
      <w:r w:rsidRPr="00BE20A7">
        <w:rPr>
          <w:i/>
          <w:sz w:val="24"/>
          <w:szCs w:val="24"/>
          <w:lang w:val="es-ES_tradnl"/>
        </w:rPr>
        <w:t>A1. Liquidez</w:t>
      </w:r>
    </w:p>
    <w:p w:rsidR="000F2C9E" w:rsidRPr="00BE20A7" w:rsidRDefault="000F2C9E" w:rsidP="000F2C9E">
      <w:pPr>
        <w:pStyle w:val="Prrafodelista"/>
        <w:numPr>
          <w:ilvl w:val="0"/>
          <w:numId w:val="41"/>
        </w:numPr>
        <w:tabs>
          <w:tab w:val="clear" w:pos="340"/>
          <w:tab w:val="num" w:pos="-1156"/>
        </w:tabs>
        <w:spacing w:after="200" w:line="276" w:lineRule="auto"/>
        <w:ind w:left="284" w:hanging="284"/>
        <w:rPr>
          <w:sz w:val="24"/>
          <w:szCs w:val="24"/>
          <w:lang w:val="es-ES_tradnl"/>
        </w:rPr>
      </w:pPr>
      <w:r w:rsidRPr="00BE20A7">
        <w:rPr>
          <w:b/>
          <w:sz w:val="24"/>
          <w:szCs w:val="24"/>
          <w:lang w:val="es-ES_tradnl"/>
        </w:rPr>
        <w:t>Definición:</w:t>
      </w:r>
      <w:r w:rsidRPr="00BE20A7">
        <w:rPr>
          <w:sz w:val="20"/>
          <w:lang w:val="es-ES_tradnl"/>
        </w:rPr>
        <w:t xml:space="preserve"> </w:t>
      </w:r>
      <w:r w:rsidRPr="00BE20A7">
        <w:rPr>
          <w:sz w:val="24"/>
          <w:szCs w:val="24"/>
          <w:lang w:val="es-ES_tradnl"/>
        </w:rPr>
        <w:t>Muestra la posibilidad del centro especial de empleo de hacer frente a las obligaciones a corto plazo con los activos a corto plazo de los que dispone. Se calcula a partir de la siguiente fórmula:</w:t>
      </w:r>
    </w:p>
    <w:p w:rsidR="000F2C9E" w:rsidRPr="00BE20A7" w:rsidRDefault="000F2C9E" w:rsidP="000F2C9E">
      <w:pPr>
        <w:pStyle w:val="Prrafodelista"/>
        <w:ind w:left="284"/>
        <w:rPr>
          <w:sz w:val="6"/>
          <w:lang w:val="es-ES_tradnl"/>
        </w:rPr>
      </w:pPr>
    </w:p>
    <w:p w:rsidR="000F2C9E" w:rsidRPr="00BE20A7" w:rsidRDefault="000F2C9E" w:rsidP="000F2C9E">
      <w:pPr>
        <w:pStyle w:val="Prrafodelista"/>
        <w:spacing w:before="120"/>
        <w:ind w:left="284"/>
        <w:jc w:val="center"/>
        <w:rPr>
          <w:sz w:val="20"/>
          <w:lang w:val="es-ES_tradnl"/>
        </w:rPr>
      </w:pPr>
      <m:oMathPara>
        <m:oMath>
          <m:r>
            <m:rPr>
              <m:nor/>
            </m:rPr>
            <w:rPr>
              <w:sz w:val="20"/>
              <w:lang w:val="es-ES_tradnl"/>
            </w:rPr>
            <m:t>Liquidez =</m:t>
          </m:r>
          <m:f>
            <m:fPr>
              <m:ctrlPr>
                <w:rPr>
                  <w:rFonts w:ascii="Cambria Math" w:hAnsi="Cambria Math"/>
                  <w:sz w:val="20"/>
                  <w:lang w:val="es-ES_tradnl"/>
                </w:rPr>
              </m:ctrlPr>
            </m:fPr>
            <m:num>
              <m:r>
                <m:rPr>
                  <m:nor/>
                </m:rPr>
                <w:rPr>
                  <w:sz w:val="20"/>
                  <w:lang w:val="es-ES_tradnl"/>
                </w:rPr>
                <m:t>Activo corriente</m:t>
              </m:r>
            </m:num>
            <m:den>
              <m:r>
                <m:rPr>
                  <m:nor/>
                </m:rPr>
                <w:rPr>
                  <w:sz w:val="20"/>
                  <w:lang w:val="es-ES_tradnl"/>
                </w:rPr>
                <m:t>Pasivo corriente</m:t>
              </m:r>
            </m:den>
          </m:f>
        </m:oMath>
      </m:oMathPara>
    </w:p>
    <w:p w:rsidR="000F2C9E" w:rsidRPr="00BE20A7" w:rsidRDefault="000F2C9E" w:rsidP="000F2C9E">
      <w:pPr>
        <w:pStyle w:val="Prrafodelista"/>
        <w:spacing w:before="120"/>
        <w:ind w:left="284"/>
        <w:rPr>
          <w:sz w:val="14"/>
          <w:lang w:val="es-ES_tradnl"/>
        </w:rPr>
      </w:pPr>
    </w:p>
    <w:p w:rsidR="000F2C9E" w:rsidRPr="00BE20A7" w:rsidRDefault="000F2C9E" w:rsidP="000F2C9E">
      <w:pPr>
        <w:pStyle w:val="Prrafodelista"/>
        <w:numPr>
          <w:ilvl w:val="0"/>
          <w:numId w:val="41"/>
        </w:numPr>
        <w:tabs>
          <w:tab w:val="clear" w:pos="340"/>
          <w:tab w:val="num" w:pos="284"/>
        </w:tabs>
        <w:spacing w:after="200" w:line="276" w:lineRule="auto"/>
        <w:ind w:left="284" w:hanging="284"/>
        <w:rPr>
          <w:sz w:val="24"/>
          <w:szCs w:val="24"/>
          <w:lang w:val="es-ES_tradnl"/>
        </w:rPr>
      </w:pPr>
      <w:r w:rsidRPr="00BE20A7">
        <w:rPr>
          <w:b/>
          <w:sz w:val="24"/>
          <w:szCs w:val="24"/>
          <w:lang w:val="es-ES_tradnl"/>
        </w:rPr>
        <w:t>Racional:</w:t>
      </w:r>
      <w:r w:rsidRPr="00BE20A7">
        <w:rPr>
          <w:sz w:val="20"/>
          <w:lang w:val="es-ES_tradnl"/>
        </w:rPr>
        <w:t xml:space="preserve"> </w:t>
      </w:r>
      <w:r w:rsidRPr="00BE20A7">
        <w:rPr>
          <w:sz w:val="24"/>
          <w:szCs w:val="24"/>
          <w:lang w:val="es-ES_tradnl"/>
        </w:rPr>
        <w:t xml:space="preserve">En el entendimiento de que la capacidad de enfrentarse a las obligaciones de pago a corto plazo es clave para asegurar la salud financiera de una organización. Por tanto, un ratio de liquidez mayor indicará una mayor salud financiera del centro especial de empleo. Se espera que el ratio sea mayor que uno. </w:t>
      </w:r>
    </w:p>
    <w:p w:rsidR="000F2C9E" w:rsidRPr="00BE20A7" w:rsidRDefault="000F2C9E" w:rsidP="000F2C9E">
      <w:pPr>
        <w:rPr>
          <w:i/>
          <w:sz w:val="24"/>
          <w:szCs w:val="24"/>
          <w:lang w:val="es-ES_tradnl"/>
        </w:rPr>
      </w:pPr>
      <w:r w:rsidRPr="00BE20A7">
        <w:rPr>
          <w:i/>
          <w:sz w:val="24"/>
          <w:szCs w:val="24"/>
          <w:lang w:val="es-ES_tradnl"/>
        </w:rPr>
        <w:t>A2. Solvencia</w:t>
      </w:r>
    </w:p>
    <w:p w:rsidR="000F2C9E" w:rsidRPr="00BE20A7" w:rsidRDefault="000F2C9E" w:rsidP="000F2C9E">
      <w:pPr>
        <w:pStyle w:val="Prrafodelista"/>
        <w:numPr>
          <w:ilvl w:val="0"/>
          <w:numId w:val="41"/>
        </w:numPr>
        <w:tabs>
          <w:tab w:val="clear" w:pos="340"/>
          <w:tab w:val="num" w:pos="-1156"/>
        </w:tabs>
        <w:spacing w:after="200" w:line="276" w:lineRule="auto"/>
        <w:ind w:left="284" w:hanging="284"/>
        <w:rPr>
          <w:sz w:val="24"/>
          <w:szCs w:val="24"/>
          <w:lang w:val="es-ES_tradnl"/>
        </w:rPr>
      </w:pPr>
      <w:r w:rsidRPr="00BE20A7">
        <w:rPr>
          <w:b/>
          <w:sz w:val="24"/>
          <w:szCs w:val="24"/>
          <w:lang w:val="es-ES_tradnl"/>
        </w:rPr>
        <w:t>Definición:</w:t>
      </w:r>
      <w:r w:rsidRPr="00BE20A7">
        <w:rPr>
          <w:sz w:val="24"/>
          <w:szCs w:val="24"/>
          <w:lang w:val="es-ES_tradnl"/>
        </w:rPr>
        <w:t xml:space="preserve"> Mide la capacidad de una organización de hacer frente a sus obligaciones. </w:t>
      </w:r>
    </w:p>
    <w:p w:rsidR="000F2C9E" w:rsidRPr="00BE20A7" w:rsidRDefault="000F2C9E" w:rsidP="000F2C9E">
      <w:pPr>
        <w:pStyle w:val="Prrafodelista"/>
        <w:ind w:left="284"/>
        <w:rPr>
          <w:sz w:val="6"/>
          <w:lang w:val="es-ES_tradnl"/>
        </w:rPr>
      </w:pPr>
    </w:p>
    <w:p w:rsidR="000F2C9E" w:rsidRPr="00BE20A7" w:rsidRDefault="000F2C9E" w:rsidP="000F2C9E">
      <w:pPr>
        <w:pStyle w:val="Prrafodelista"/>
        <w:spacing w:before="120"/>
        <w:ind w:left="284"/>
        <w:jc w:val="center"/>
        <w:rPr>
          <w:sz w:val="20"/>
          <w:lang w:val="es-ES_tradnl"/>
        </w:rPr>
      </w:pPr>
      <m:oMathPara>
        <m:oMath>
          <m:r>
            <m:rPr>
              <m:nor/>
            </m:rPr>
            <w:rPr>
              <w:sz w:val="20"/>
              <w:lang w:val="es-ES_tradnl"/>
            </w:rPr>
            <m:t>Solvencia=</m:t>
          </m:r>
          <m:f>
            <m:fPr>
              <m:ctrlPr>
                <w:rPr>
                  <w:rFonts w:ascii="Cambria Math" w:hAnsi="Cambria Math"/>
                  <w:sz w:val="20"/>
                  <w:lang w:val="es-ES_tradnl"/>
                </w:rPr>
              </m:ctrlPr>
            </m:fPr>
            <m:num>
              <m:r>
                <m:rPr>
                  <m:nor/>
                </m:rPr>
                <w:rPr>
                  <w:sz w:val="20"/>
                  <w:lang w:val="es-ES_tradnl"/>
                </w:rPr>
                <m:t>Activo total</m:t>
              </m:r>
            </m:num>
            <m:den>
              <m:r>
                <m:rPr>
                  <m:nor/>
                </m:rPr>
                <w:rPr>
                  <w:sz w:val="20"/>
                  <w:lang w:val="es-ES_tradnl"/>
                </w:rPr>
                <m:t>Exigible total</m:t>
              </m:r>
            </m:den>
          </m:f>
          <m:r>
            <m:rPr>
              <m:nor/>
            </m:rPr>
            <w:rPr>
              <w:sz w:val="20"/>
              <w:lang w:val="es-ES_tradnl"/>
            </w:rPr>
            <m:t xml:space="preserve">     </m:t>
          </m:r>
        </m:oMath>
      </m:oMathPara>
    </w:p>
    <w:p w:rsidR="000F2C9E" w:rsidRPr="00BE20A7" w:rsidRDefault="000F2C9E" w:rsidP="000F2C9E">
      <w:pPr>
        <w:pStyle w:val="Prrafodelista"/>
        <w:spacing w:before="120"/>
        <w:ind w:left="284"/>
        <w:rPr>
          <w:sz w:val="14"/>
          <w:lang w:val="es-ES_tradnl"/>
        </w:rPr>
      </w:pPr>
    </w:p>
    <w:p w:rsidR="000F2C9E" w:rsidRPr="00BE20A7" w:rsidRDefault="000F2C9E" w:rsidP="000F2C9E">
      <w:pPr>
        <w:pStyle w:val="Prrafodelista"/>
        <w:numPr>
          <w:ilvl w:val="0"/>
          <w:numId w:val="41"/>
        </w:numPr>
        <w:tabs>
          <w:tab w:val="clear" w:pos="340"/>
          <w:tab w:val="num" w:pos="284"/>
        </w:tabs>
        <w:spacing w:after="200" w:line="276" w:lineRule="auto"/>
        <w:ind w:left="284" w:hanging="284"/>
        <w:rPr>
          <w:sz w:val="24"/>
          <w:szCs w:val="24"/>
          <w:lang w:val="es-ES_tradnl"/>
        </w:rPr>
      </w:pPr>
      <w:r w:rsidRPr="00BE20A7">
        <w:rPr>
          <w:b/>
          <w:sz w:val="24"/>
          <w:szCs w:val="24"/>
          <w:lang w:val="es-ES_tradnl"/>
        </w:rPr>
        <w:t>Racional:</w:t>
      </w:r>
      <w:r w:rsidRPr="00BE20A7">
        <w:rPr>
          <w:sz w:val="20"/>
          <w:lang w:val="es-ES_tradnl"/>
        </w:rPr>
        <w:t xml:space="preserve"> </w:t>
      </w:r>
      <w:r w:rsidRPr="00BE20A7">
        <w:rPr>
          <w:sz w:val="24"/>
          <w:szCs w:val="24"/>
          <w:lang w:val="es-ES_tradnl"/>
        </w:rPr>
        <w:t>En el entendimiento de que la capacidad de enfrentarse a las obligaciones es clave para asegurar la salud financiera de una organización. Un ratio de solvencia adecuado indica salud financiera. Deseablemente, el ratio debe ser &gt;1,5</w:t>
      </w:r>
    </w:p>
    <w:p w:rsidR="000F2C9E" w:rsidRPr="00BE20A7" w:rsidRDefault="000F2C9E" w:rsidP="000F2C9E">
      <w:pPr>
        <w:tabs>
          <w:tab w:val="num" w:pos="1190"/>
        </w:tabs>
        <w:rPr>
          <w:sz w:val="24"/>
          <w:szCs w:val="24"/>
          <w:lang w:val="es-ES_tradnl"/>
        </w:rPr>
      </w:pPr>
    </w:p>
    <w:p w:rsidR="000F2C9E" w:rsidRPr="00BE20A7" w:rsidRDefault="000F2C9E" w:rsidP="000F2C9E">
      <w:pPr>
        <w:rPr>
          <w:i/>
          <w:sz w:val="24"/>
          <w:szCs w:val="24"/>
          <w:lang w:val="es-ES_tradnl"/>
        </w:rPr>
      </w:pPr>
      <w:r w:rsidRPr="00BE20A7">
        <w:rPr>
          <w:i/>
          <w:sz w:val="24"/>
          <w:szCs w:val="24"/>
          <w:lang w:val="es-ES_tradnl"/>
        </w:rPr>
        <w:t>A3. Endeudamiento</w:t>
      </w:r>
    </w:p>
    <w:p w:rsidR="000F2C9E" w:rsidRPr="00BE20A7" w:rsidRDefault="000F2C9E" w:rsidP="000F2C9E">
      <w:pPr>
        <w:pStyle w:val="Prrafodelista"/>
        <w:numPr>
          <w:ilvl w:val="0"/>
          <w:numId w:val="41"/>
        </w:numPr>
        <w:tabs>
          <w:tab w:val="clear" w:pos="340"/>
          <w:tab w:val="num" w:pos="-1156"/>
        </w:tabs>
        <w:spacing w:after="200" w:line="276" w:lineRule="auto"/>
        <w:ind w:left="284" w:hanging="284"/>
        <w:rPr>
          <w:sz w:val="24"/>
          <w:szCs w:val="24"/>
          <w:lang w:val="es-ES_tradnl"/>
        </w:rPr>
      </w:pPr>
      <w:r w:rsidRPr="00BE20A7">
        <w:rPr>
          <w:b/>
          <w:sz w:val="24"/>
          <w:szCs w:val="24"/>
          <w:lang w:val="es-ES_tradnl"/>
        </w:rPr>
        <w:t>Definición:</w:t>
      </w:r>
      <w:r w:rsidRPr="00BE20A7">
        <w:rPr>
          <w:sz w:val="24"/>
          <w:szCs w:val="24"/>
          <w:lang w:val="es-ES_tradnl"/>
        </w:rPr>
        <w:t xml:space="preserve"> mide la relación existente entre el importe de los fondos propios de una empresa con relación a las deudas que mantiene tanto en el largo como en el corto plazo.</w:t>
      </w:r>
    </w:p>
    <w:p w:rsidR="000F2C9E" w:rsidRPr="00BE20A7" w:rsidRDefault="000F2C9E" w:rsidP="000F2C9E">
      <w:pPr>
        <w:pStyle w:val="Prrafodelista"/>
        <w:spacing w:before="120"/>
        <w:ind w:left="284"/>
        <w:jc w:val="center"/>
        <w:rPr>
          <w:sz w:val="24"/>
          <w:szCs w:val="24"/>
          <w:lang w:val="es-ES_tradnl"/>
        </w:rPr>
      </w:pPr>
      <m:oMathPara>
        <m:oMath>
          <m:r>
            <m:rPr>
              <m:nor/>
            </m:rPr>
            <w:rPr>
              <w:sz w:val="20"/>
              <w:lang w:val="es-ES_tradnl"/>
            </w:rPr>
            <m:t>Endeudamiento=</m:t>
          </m:r>
          <m:f>
            <m:fPr>
              <m:ctrlPr>
                <w:rPr>
                  <w:rFonts w:ascii="Cambria Math" w:hAnsi="Cambria Math"/>
                  <w:sz w:val="20"/>
                  <w:lang w:val="es-ES_tradnl"/>
                </w:rPr>
              </m:ctrlPr>
            </m:fPr>
            <m:num>
              <m:r>
                <m:rPr>
                  <m:nor/>
                </m:rPr>
                <w:rPr>
                  <w:sz w:val="20"/>
                  <w:lang w:val="es-ES_tradnl"/>
                </w:rPr>
                <m:t xml:space="preserve">Deudas a largo plazo + Deudas a corto plazo </m:t>
              </m:r>
            </m:num>
            <m:den>
              <m:r>
                <m:rPr>
                  <m:nor/>
                </m:rPr>
                <w:rPr>
                  <w:sz w:val="20"/>
                  <w:lang w:val="es-ES_tradnl"/>
                </w:rPr>
                <m:t>Patrimonio Neto</m:t>
              </m:r>
            </m:den>
          </m:f>
          <m:r>
            <m:rPr>
              <m:nor/>
            </m:rPr>
            <w:rPr>
              <w:sz w:val="20"/>
              <w:lang w:val="es-ES_tradnl"/>
            </w:rPr>
            <m:t xml:space="preserve"> </m:t>
          </m:r>
        </m:oMath>
      </m:oMathPara>
    </w:p>
    <w:p w:rsidR="000F2C9E" w:rsidRPr="00BE20A7" w:rsidRDefault="000F2C9E" w:rsidP="000F2C9E">
      <w:pPr>
        <w:pStyle w:val="Prrafodelista"/>
        <w:spacing w:before="120"/>
        <w:ind w:left="284"/>
        <w:rPr>
          <w:sz w:val="24"/>
          <w:szCs w:val="24"/>
          <w:lang w:val="es-ES_tradnl"/>
        </w:rPr>
      </w:pPr>
    </w:p>
    <w:p w:rsidR="000F2C9E" w:rsidRPr="00BE20A7" w:rsidRDefault="000F2C9E" w:rsidP="000F2C9E">
      <w:pPr>
        <w:pStyle w:val="Prrafodelista"/>
        <w:numPr>
          <w:ilvl w:val="0"/>
          <w:numId w:val="41"/>
        </w:numPr>
        <w:tabs>
          <w:tab w:val="clear" w:pos="340"/>
          <w:tab w:val="num" w:pos="284"/>
        </w:tabs>
        <w:spacing w:after="200" w:line="276" w:lineRule="auto"/>
        <w:ind w:left="284" w:hanging="284"/>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el nivel de endeudamiento es un reflejo de la solvencia económica de una organización. Por tanto, un ratio de endeudamiento menor puede ser indi</w:t>
      </w:r>
      <w:r>
        <w:rPr>
          <w:sz w:val="24"/>
          <w:szCs w:val="24"/>
          <w:lang w:val="es-ES_tradnl"/>
        </w:rPr>
        <w:t>cador de prudencia y de solidez</w:t>
      </w:r>
      <w:r w:rsidRPr="00BE20A7">
        <w:rPr>
          <w:sz w:val="24"/>
          <w:szCs w:val="24"/>
          <w:lang w:val="es-ES_tradnl"/>
        </w:rPr>
        <w:t>.</w:t>
      </w:r>
    </w:p>
    <w:p w:rsidR="000F2C9E" w:rsidRPr="00BE20A7" w:rsidRDefault="000F2C9E" w:rsidP="004B21D0">
      <w:pPr>
        <w:keepNext/>
        <w:rPr>
          <w:i/>
          <w:sz w:val="24"/>
          <w:szCs w:val="24"/>
          <w:lang w:val="es-ES_tradnl"/>
        </w:rPr>
      </w:pPr>
      <w:r w:rsidRPr="00BE20A7">
        <w:rPr>
          <w:i/>
          <w:sz w:val="24"/>
          <w:szCs w:val="24"/>
          <w:lang w:val="es-ES_tradnl"/>
        </w:rPr>
        <w:t>A4. Rentabilidad</w:t>
      </w:r>
    </w:p>
    <w:p w:rsidR="000F2C9E" w:rsidRPr="00BE20A7" w:rsidRDefault="000F2C9E" w:rsidP="000F2C9E">
      <w:pPr>
        <w:pStyle w:val="Prrafodelista"/>
        <w:numPr>
          <w:ilvl w:val="0"/>
          <w:numId w:val="41"/>
        </w:numPr>
        <w:tabs>
          <w:tab w:val="clear" w:pos="340"/>
          <w:tab w:val="num" w:pos="-1156"/>
        </w:tabs>
        <w:spacing w:after="200" w:line="276" w:lineRule="auto"/>
        <w:ind w:left="284" w:hanging="284"/>
        <w:rPr>
          <w:sz w:val="24"/>
          <w:szCs w:val="24"/>
          <w:lang w:val="es-ES_tradnl"/>
        </w:rPr>
      </w:pPr>
      <w:r w:rsidRPr="00BE20A7">
        <w:rPr>
          <w:b/>
          <w:sz w:val="24"/>
          <w:szCs w:val="24"/>
          <w:lang w:val="es-ES_tradnl"/>
        </w:rPr>
        <w:t>Definición:</w:t>
      </w:r>
      <w:r w:rsidRPr="00BE20A7">
        <w:rPr>
          <w:sz w:val="24"/>
          <w:szCs w:val="24"/>
          <w:lang w:val="es-ES_tradnl"/>
        </w:rPr>
        <w:t xml:space="preserve"> muestra la capacidad del centro especial de empleo de comercializar productos y servicios de manera rentable. El indicador de rentabilidad se calcula a partir de la siguiente fórmula:</w:t>
      </w:r>
    </w:p>
    <w:p w:rsidR="000F2C9E" w:rsidRPr="00BE20A7" w:rsidRDefault="000F2C9E" w:rsidP="000F2C9E">
      <w:pPr>
        <w:pStyle w:val="Prrafodelista"/>
        <w:ind w:left="284"/>
        <w:rPr>
          <w:sz w:val="24"/>
          <w:szCs w:val="24"/>
          <w:lang w:val="es-ES_tradnl"/>
        </w:rPr>
      </w:pPr>
    </w:p>
    <w:p w:rsidR="000F2C9E" w:rsidRPr="00BE20A7" w:rsidRDefault="000F2C9E" w:rsidP="000F2C9E">
      <w:pPr>
        <w:pStyle w:val="Prrafodelista"/>
        <w:ind w:left="284"/>
        <w:rPr>
          <w:sz w:val="24"/>
          <w:szCs w:val="24"/>
          <w:lang w:val="es-ES_tradnl"/>
        </w:rPr>
      </w:pPr>
    </w:p>
    <w:p w:rsidR="000F2C9E" w:rsidRPr="00BE20A7" w:rsidRDefault="000F2C9E" w:rsidP="000F2C9E">
      <w:pPr>
        <w:pStyle w:val="Prrafodelista"/>
        <w:spacing w:before="120"/>
        <w:ind w:left="284"/>
        <w:jc w:val="center"/>
        <w:rPr>
          <w:sz w:val="24"/>
          <w:szCs w:val="24"/>
          <w:lang w:val="es-ES_tradnl"/>
        </w:rPr>
      </w:pPr>
      <m:oMathPara>
        <m:oMath>
          <m:r>
            <m:rPr>
              <m:nor/>
            </m:rPr>
            <w:rPr>
              <w:sz w:val="20"/>
              <w:lang w:val="es-ES_tradnl"/>
            </w:rPr>
            <m:t>Rentabilidad=</m:t>
          </m:r>
          <m:f>
            <m:fPr>
              <m:ctrlPr>
                <w:rPr>
                  <w:rFonts w:ascii="Cambria Math" w:hAnsi="Cambria Math"/>
                  <w:sz w:val="20"/>
                  <w:lang w:val="es-ES_tradnl"/>
                </w:rPr>
              </m:ctrlPr>
            </m:fPr>
            <m:num>
              <m:r>
                <m:rPr>
                  <m:sty m:val="p"/>
                </m:rPr>
                <w:rPr>
                  <w:rFonts w:ascii="Cambria Math"/>
                  <w:sz w:val="20"/>
                  <w:lang w:val="es-ES_tradnl"/>
                </w:rPr>
                <m:t>Beneficio neto</m:t>
              </m:r>
            </m:num>
            <m:den>
              <m:r>
                <m:rPr>
                  <m:sty m:val="p"/>
                </m:rPr>
                <w:rPr>
                  <w:rFonts w:ascii="Cambria Math"/>
                  <w:sz w:val="20"/>
                  <w:lang w:val="es-ES_tradnl"/>
                </w:rPr>
                <m:t>Ventas</m:t>
              </m:r>
            </m:den>
          </m:f>
          <m:r>
            <m:rPr>
              <m:nor/>
            </m:rPr>
            <w:rPr>
              <w:sz w:val="20"/>
              <w:lang w:val="es-ES_tradnl"/>
            </w:rPr>
            <m:t xml:space="preserve"> x 100</m:t>
          </m:r>
        </m:oMath>
      </m:oMathPara>
    </w:p>
    <w:p w:rsidR="000F2C9E" w:rsidRPr="00BE20A7" w:rsidRDefault="000F2C9E" w:rsidP="000F2C9E">
      <w:pPr>
        <w:pStyle w:val="Prrafodelista"/>
        <w:spacing w:before="120"/>
        <w:ind w:left="284"/>
        <w:rPr>
          <w:sz w:val="24"/>
          <w:szCs w:val="24"/>
          <w:lang w:val="es-ES_tradnl"/>
        </w:rPr>
      </w:pPr>
    </w:p>
    <w:p w:rsidR="000F2C9E" w:rsidRPr="00BE20A7" w:rsidRDefault="000F2C9E" w:rsidP="000F2C9E">
      <w:pPr>
        <w:pStyle w:val="Prrafodelista"/>
        <w:numPr>
          <w:ilvl w:val="0"/>
          <w:numId w:val="41"/>
        </w:numPr>
        <w:tabs>
          <w:tab w:val="clear" w:pos="340"/>
          <w:tab w:val="num" w:pos="284"/>
        </w:tabs>
        <w:spacing w:after="200" w:line="276" w:lineRule="auto"/>
        <w:ind w:left="284" w:hanging="284"/>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la rentabilidad de la actividad de un centro especial de empleo muestra la aceptación de sus productos y servicios en el mercado y, por lo tanto, la viabilidad de su modelo de negocio. </w:t>
      </w:r>
    </w:p>
    <w:p w:rsidR="000F2C9E" w:rsidRPr="00BE20A7" w:rsidRDefault="000F2C9E" w:rsidP="000F2C9E">
      <w:pPr>
        <w:rPr>
          <w:i/>
          <w:sz w:val="24"/>
          <w:szCs w:val="24"/>
          <w:lang w:val="es-ES_tradnl"/>
        </w:rPr>
      </w:pPr>
      <w:r w:rsidRPr="00BE20A7">
        <w:rPr>
          <w:i/>
          <w:sz w:val="24"/>
          <w:szCs w:val="24"/>
          <w:lang w:val="es-ES_tradnl"/>
        </w:rPr>
        <w:t>A5. Incidencias</w:t>
      </w:r>
    </w:p>
    <w:p w:rsidR="000F2C9E" w:rsidRPr="00BE20A7" w:rsidRDefault="000F2C9E" w:rsidP="000F2C9E">
      <w:pPr>
        <w:pStyle w:val="Prrafodelista"/>
        <w:numPr>
          <w:ilvl w:val="0"/>
          <w:numId w:val="41"/>
        </w:numPr>
        <w:tabs>
          <w:tab w:val="clear" w:pos="340"/>
          <w:tab w:val="num" w:pos="-1156"/>
        </w:tabs>
        <w:spacing w:after="200" w:line="276" w:lineRule="auto"/>
        <w:ind w:left="284" w:hanging="284"/>
        <w:rPr>
          <w:sz w:val="24"/>
          <w:szCs w:val="24"/>
          <w:lang w:val="es-ES_tradnl"/>
        </w:rPr>
      </w:pPr>
      <w:r w:rsidRPr="00BE20A7">
        <w:rPr>
          <w:b/>
          <w:sz w:val="24"/>
          <w:szCs w:val="24"/>
          <w:lang w:val="es-ES_tradnl"/>
        </w:rPr>
        <w:t>Definición:</w:t>
      </w:r>
      <w:r w:rsidRPr="00BE20A7">
        <w:rPr>
          <w:sz w:val="24"/>
          <w:szCs w:val="24"/>
          <w:lang w:val="es-ES_tradnl"/>
        </w:rPr>
        <w:t xml:space="preserve"> Reclamaciones hechas por los diferentes órganos de la administración contra la organización.</w:t>
      </w:r>
    </w:p>
    <w:p w:rsidR="000F2C9E" w:rsidRPr="00BE20A7" w:rsidRDefault="000F2C9E" w:rsidP="000F2C9E">
      <w:pPr>
        <w:pStyle w:val="Prrafodelista"/>
        <w:numPr>
          <w:ilvl w:val="0"/>
          <w:numId w:val="41"/>
        </w:numPr>
        <w:tabs>
          <w:tab w:val="clear" w:pos="340"/>
          <w:tab w:val="num" w:pos="284"/>
        </w:tabs>
        <w:spacing w:after="200" w:line="276" w:lineRule="auto"/>
        <w:ind w:left="284" w:hanging="284"/>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se trata de un indicador que puede se señal de problemas en la gestión del centro especial de empleo. </w:t>
      </w:r>
    </w:p>
    <w:p w:rsidR="000F2C9E" w:rsidRPr="00BE20A7" w:rsidRDefault="000F2C9E" w:rsidP="000F2C9E">
      <w:pPr>
        <w:rPr>
          <w:i/>
          <w:sz w:val="24"/>
          <w:szCs w:val="24"/>
          <w:lang w:val="es-ES_tradnl"/>
        </w:rPr>
      </w:pPr>
      <w:r w:rsidRPr="00BE20A7">
        <w:rPr>
          <w:i/>
          <w:sz w:val="24"/>
          <w:szCs w:val="24"/>
          <w:lang w:val="es-ES_tradnl"/>
        </w:rPr>
        <w:t>A6.  Fecha de constitución del centro especial de empleo</w:t>
      </w:r>
    </w:p>
    <w:p w:rsidR="000F2C9E" w:rsidRPr="00BE20A7" w:rsidRDefault="000F2C9E" w:rsidP="000F2C9E">
      <w:pPr>
        <w:numPr>
          <w:ilvl w:val="0"/>
          <w:numId w:val="44"/>
        </w:numPr>
        <w:spacing w:before="144" w:after="12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Número de años en los que el centro especial de empleo ha permanecido en funcionamiento. </w:t>
      </w:r>
    </w:p>
    <w:p w:rsidR="000F2C9E" w:rsidRPr="00BE20A7" w:rsidRDefault="000F2C9E" w:rsidP="000F2C9E">
      <w:pPr>
        <w:pStyle w:val="Prrafodelista"/>
        <w:numPr>
          <w:ilvl w:val="0"/>
          <w:numId w:val="40"/>
        </w:numPr>
        <w:spacing w:after="200" w:line="276" w:lineRule="auto"/>
        <w:ind w:left="360"/>
        <w:rPr>
          <w:sz w:val="24"/>
          <w:szCs w:val="24"/>
          <w:lang w:val="es-ES_tradnl"/>
        </w:rPr>
      </w:pPr>
      <w:r w:rsidRPr="00BE20A7">
        <w:rPr>
          <w:b/>
          <w:sz w:val="24"/>
          <w:szCs w:val="24"/>
          <w:lang w:val="es-ES_tradnl"/>
        </w:rPr>
        <w:t>Racional:</w:t>
      </w:r>
      <w:r w:rsidRPr="00BE20A7">
        <w:rPr>
          <w:sz w:val="24"/>
          <w:szCs w:val="24"/>
          <w:lang w:val="es-ES_tradnl"/>
        </w:rPr>
        <w:t xml:space="preserve"> La longevidad es indicador de la viabilidad del modelo de negocio del centro especial de empleo así como de su capacidad de adaptación. La tasa de mortalidad de las empresas disminuye conforme aumenta el número de años de actividad.</w:t>
      </w:r>
    </w:p>
    <w:p w:rsidR="000F2C9E" w:rsidRPr="00BE20A7" w:rsidRDefault="000F2C9E" w:rsidP="000F2C9E">
      <w:pPr>
        <w:rPr>
          <w:i/>
          <w:sz w:val="24"/>
          <w:szCs w:val="24"/>
          <w:lang w:val="es-ES_tradnl"/>
        </w:rPr>
      </w:pPr>
      <w:r w:rsidRPr="00BE20A7">
        <w:rPr>
          <w:i/>
          <w:sz w:val="24"/>
          <w:szCs w:val="24"/>
          <w:lang w:val="es-ES_tradnl"/>
        </w:rPr>
        <w:t>A7. Facturación media por empleado</w:t>
      </w:r>
    </w:p>
    <w:p w:rsidR="000F2C9E" w:rsidRPr="00BE20A7" w:rsidRDefault="000F2C9E" w:rsidP="000F2C9E">
      <w:pPr>
        <w:pStyle w:val="Prrafodelista"/>
        <w:numPr>
          <w:ilvl w:val="0"/>
          <w:numId w:val="40"/>
        </w:numPr>
        <w:spacing w:after="200" w:line="276" w:lineRule="auto"/>
        <w:ind w:left="426" w:hanging="426"/>
        <w:rPr>
          <w:sz w:val="24"/>
          <w:szCs w:val="24"/>
          <w:lang w:val="es-ES_tradnl"/>
        </w:rPr>
      </w:pPr>
      <w:r w:rsidRPr="00BE20A7">
        <w:rPr>
          <w:b/>
          <w:sz w:val="24"/>
          <w:szCs w:val="24"/>
          <w:lang w:val="es-ES_tradnl"/>
        </w:rPr>
        <w:t>Definición:</w:t>
      </w:r>
      <w:r w:rsidRPr="00BE20A7">
        <w:rPr>
          <w:sz w:val="24"/>
          <w:szCs w:val="24"/>
          <w:lang w:val="es-ES_tradnl"/>
        </w:rPr>
        <w:t xml:space="preserve"> Facturación del centro especial de empleo dividida por la media del número de empleados durante el período objeto del estudio.</w:t>
      </w:r>
    </w:p>
    <w:p w:rsidR="000F2C9E" w:rsidRPr="00BE20A7" w:rsidRDefault="000F2C9E" w:rsidP="000F2C9E">
      <w:pPr>
        <w:pStyle w:val="Prrafodelista"/>
        <w:ind w:left="284"/>
        <w:rPr>
          <w:sz w:val="24"/>
          <w:szCs w:val="24"/>
          <w:lang w:val="es-ES_tradnl"/>
        </w:rPr>
      </w:pPr>
    </w:p>
    <w:p w:rsidR="000F2C9E" w:rsidRPr="00BE20A7" w:rsidRDefault="000F2C9E" w:rsidP="000F2C9E">
      <w:pPr>
        <w:pStyle w:val="Prrafodelista"/>
        <w:ind w:left="284"/>
        <w:rPr>
          <w:sz w:val="24"/>
          <w:szCs w:val="24"/>
          <w:lang w:val="es-ES_tradnl"/>
        </w:rPr>
      </w:pPr>
    </w:p>
    <w:p w:rsidR="000F2C9E" w:rsidRPr="00BE20A7" w:rsidRDefault="000F2C9E" w:rsidP="000F2C9E">
      <w:pPr>
        <w:pStyle w:val="Prrafodelista"/>
        <w:spacing w:before="120"/>
        <w:ind w:left="284"/>
        <w:jc w:val="center"/>
        <w:rPr>
          <w:sz w:val="24"/>
          <w:szCs w:val="24"/>
          <w:lang w:val="es-ES_tradnl"/>
        </w:rPr>
      </w:pPr>
      <m:oMathPara>
        <m:oMath>
          <m:r>
            <m:rPr>
              <m:nor/>
            </m:rPr>
            <w:rPr>
              <w:sz w:val="20"/>
              <w:lang w:val="es-ES_tradnl"/>
            </w:rPr>
            <m:t>Facturación media empleado=</m:t>
          </m:r>
          <m:f>
            <m:fPr>
              <m:ctrlPr>
                <w:rPr>
                  <w:rFonts w:ascii="Cambria Math" w:hAnsi="Cambria Math"/>
                  <w:sz w:val="20"/>
                  <w:lang w:val="es-ES_tradnl"/>
                </w:rPr>
              </m:ctrlPr>
            </m:fPr>
            <m:num>
              <m:r>
                <m:rPr>
                  <m:sty m:val="p"/>
                </m:rPr>
                <w:rPr>
                  <w:rFonts w:ascii="Cambria Math"/>
                  <w:sz w:val="20"/>
                  <w:lang w:val="es-ES_tradnl"/>
                </w:rPr>
                <m:t>Ventas</m:t>
              </m:r>
            </m:num>
            <m:den>
              <m:r>
                <m:rPr>
                  <m:sty m:val="p"/>
                </m:rPr>
                <w:rPr>
                  <w:rFonts w:ascii="Cambria Math"/>
                  <w:sz w:val="20"/>
                  <w:lang w:val="es-ES_tradnl"/>
                </w:rPr>
                <m:t>Empleado</m:t>
              </m:r>
            </m:den>
          </m:f>
          <m:r>
            <m:rPr>
              <m:nor/>
            </m:rPr>
            <w:rPr>
              <w:sz w:val="20"/>
              <w:lang w:val="es-ES_tradnl"/>
            </w:rPr>
            <m:t xml:space="preserve"> </m:t>
          </m:r>
        </m:oMath>
      </m:oMathPara>
    </w:p>
    <w:p w:rsidR="000F2C9E" w:rsidRPr="00BE20A7" w:rsidRDefault="000F2C9E" w:rsidP="000F2C9E">
      <w:pPr>
        <w:pStyle w:val="Prrafodelista"/>
        <w:ind w:left="426"/>
        <w:rPr>
          <w:sz w:val="24"/>
          <w:szCs w:val="24"/>
          <w:lang w:val="es-ES_tradnl"/>
        </w:rPr>
      </w:pPr>
    </w:p>
    <w:p w:rsidR="000F2C9E" w:rsidRPr="00BE20A7" w:rsidRDefault="000F2C9E" w:rsidP="000F2C9E">
      <w:pPr>
        <w:pStyle w:val="Prrafodelista"/>
        <w:numPr>
          <w:ilvl w:val="0"/>
          <w:numId w:val="40"/>
        </w:numPr>
        <w:spacing w:after="200" w:line="276" w:lineRule="auto"/>
        <w:ind w:left="426" w:hanging="426"/>
        <w:rPr>
          <w:sz w:val="24"/>
          <w:szCs w:val="24"/>
          <w:lang w:val="es-ES_tradnl"/>
        </w:rPr>
      </w:pPr>
      <w:r w:rsidRPr="00BE20A7">
        <w:rPr>
          <w:b/>
          <w:sz w:val="24"/>
          <w:szCs w:val="24"/>
          <w:lang w:val="es-ES_tradnl"/>
        </w:rPr>
        <w:t>Racional:</w:t>
      </w:r>
      <w:r w:rsidRPr="00BE20A7">
        <w:rPr>
          <w:sz w:val="24"/>
          <w:szCs w:val="24"/>
          <w:lang w:val="es-ES_tradnl"/>
        </w:rPr>
        <w:t xml:space="preserve"> Alcanzar unos valores más elevados de facturación por empleado es una muestra del éxito de la organización y de la productividad de sus empleados.  </w:t>
      </w:r>
    </w:p>
    <w:p w:rsidR="000F2C9E" w:rsidRPr="00BE20A7" w:rsidRDefault="000F2C9E" w:rsidP="000F2C9E">
      <w:pPr>
        <w:pStyle w:val="Prrafodelista"/>
        <w:spacing w:after="200" w:line="276" w:lineRule="auto"/>
        <w:ind w:left="426"/>
        <w:rPr>
          <w:sz w:val="24"/>
          <w:szCs w:val="24"/>
          <w:lang w:val="es-ES_tradnl"/>
        </w:rPr>
      </w:pPr>
    </w:p>
    <w:p w:rsidR="000F2C9E" w:rsidRDefault="000F2C9E" w:rsidP="00802DE0">
      <w:pPr>
        <w:pStyle w:val="Ttulo2"/>
        <w:rPr>
          <w:lang w:val="es-ES_tradnl"/>
        </w:rPr>
      </w:pPr>
      <w:bookmarkStart w:id="329" w:name="_Toc398713485"/>
      <w:bookmarkStart w:id="330" w:name="_Toc410916910"/>
      <w:r w:rsidRPr="00606984">
        <w:rPr>
          <w:lang w:val="es-ES_tradnl"/>
        </w:rPr>
        <w:t>Evaluación de la posición competitiva</w:t>
      </w:r>
      <w:bookmarkEnd w:id="329"/>
      <w:bookmarkEnd w:id="330"/>
    </w:p>
    <w:p w:rsidR="000F2C9E" w:rsidRPr="00EC2CFF" w:rsidRDefault="000F2C9E" w:rsidP="00802DE0">
      <w:pPr>
        <w:pStyle w:val="Textoindependiente"/>
        <w:keepNext/>
        <w:rPr>
          <w:rFonts w:eastAsia="Calibri"/>
          <w:lang w:val="es-ES_tradnl"/>
        </w:rPr>
      </w:pPr>
    </w:p>
    <w:p w:rsidR="000F2C9E" w:rsidRPr="00BE20A7" w:rsidRDefault="000F2C9E" w:rsidP="000F2C9E">
      <w:pPr>
        <w:rPr>
          <w:i/>
          <w:sz w:val="24"/>
          <w:szCs w:val="24"/>
          <w:lang w:val="es-ES_tradnl"/>
        </w:rPr>
      </w:pPr>
      <w:r w:rsidRPr="00BE20A7">
        <w:rPr>
          <w:i/>
          <w:sz w:val="24"/>
          <w:szCs w:val="24"/>
          <w:lang w:val="es-ES_tradnl"/>
        </w:rPr>
        <w:t>B1. Sectores de alto potencial de crecimiento</w:t>
      </w:r>
    </w:p>
    <w:p w:rsidR="000F2C9E" w:rsidRPr="00BE20A7" w:rsidRDefault="000F2C9E" w:rsidP="000F2C9E">
      <w:pPr>
        <w:pStyle w:val="Prrafodelista"/>
        <w:numPr>
          <w:ilvl w:val="0"/>
          <w:numId w:val="49"/>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Pertenencia a sectores de mayor potencial de crecimiento en la economía española.</w:t>
      </w:r>
    </w:p>
    <w:p w:rsidR="000F2C9E" w:rsidRPr="00BE20A7" w:rsidRDefault="000F2C9E" w:rsidP="000F2C9E">
      <w:pPr>
        <w:pStyle w:val="Prrafodelista"/>
        <w:numPr>
          <w:ilvl w:val="0"/>
          <w:numId w:val="40"/>
        </w:numPr>
        <w:spacing w:after="200" w:line="276" w:lineRule="auto"/>
        <w:ind w:left="360"/>
        <w:rPr>
          <w:sz w:val="24"/>
          <w:szCs w:val="24"/>
          <w:lang w:val="es-ES_tradnl"/>
        </w:rPr>
      </w:pPr>
      <w:r w:rsidRPr="00BE20A7">
        <w:rPr>
          <w:b/>
          <w:sz w:val="24"/>
          <w:szCs w:val="24"/>
          <w:lang w:val="es-ES_tradnl"/>
        </w:rPr>
        <w:t>Racional:</w:t>
      </w:r>
      <w:r w:rsidRPr="00BE20A7">
        <w:rPr>
          <w:sz w:val="24"/>
          <w:szCs w:val="24"/>
          <w:lang w:val="es-ES_tradnl"/>
        </w:rPr>
        <w:t xml:space="preserve"> La OCDE en su informe "Gazelles: High-growth companies" identifica por país los sectores económicos que presentan un mayor porcentaje de empresas que han tenido en los últimos 3 años un crecimiento anualizado superior al 20% en empleados o facturación.  La pertenencia a estos sectores más atractivos podría ofrecer mayores oportunidades de crecimiento y por ende, de empleo y generación de riqueza. </w:t>
      </w:r>
    </w:p>
    <w:p w:rsidR="000F2C9E" w:rsidRPr="00BE20A7" w:rsidRDefault="000F2C9E" w:rsidP="000F2C9E">
      <w:pPr>
        <w:rPr>
          <w:i/>
          <w:sz w:val="24"/>
          <w:szCs w:val="24"/>
          <w:lang w:val="es-ES_tradnl"/>
        </w:rPr>
      </w:pPr>
      <w:r w:rsidRPr="00BE20A7">
        <w:rPr>
          <w:i/>
          <w:sz w:val="24"/>
          <w:szCs w:val="24"/>
          <w:lang w:val="es-ES_tradnl"/>
        </w:rPr>
        <w:t>B2. Sectores de alto potencial de exportación</w:t>
      </w:r>
    </w:p>
    <w:p w:rsidR="000F2C9E" w:rsidRPr="00BE20A7" w:rsidRDefault="000F2C9E" w:rsidP="000F2C9E">
      <w:pPr>
        <w:pStyle w:val="Prrafodelista"/>
        <w:numPr>
          <w:ilvl w:val="0"/>
          <w:numId w:val="50"/>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Pertenencia a sectores de mayor potencial exportador.</w:t>
      </w:r>
    </w:p>
    <w:p w:rsidR="000F2C9E" w:rsidRPr="00BE20A7" w:rsidRDefault="000F2C9E" w:rsidP="000F2C9E">
      <w:pPr>
        <w:pStyle w:val="Prrafodelista"/>
        <w:numPr>
          <w:ilvl w:val="0"/>
          <w:numId w:val="40"/>
        </w:numPr>
        <w:spacing w:after="200" w:line="276" w:lineRule="auto"/>
        <w:ind w:left="360"/>
        <w:rPr>
          <w:sz w:val="24"/>
          <w:szCs w:val="24"/>
          <w:lang w:val="es-ES_tradnl"/>
        </w:rPr>
      </w:pPr>
      <w:r w:rsidRPr="00BE20A7">
        <w:rPr>
          <w:b/>
          <w:sz w:val="24"/>
          <w:szCs w:val="24"/>
          <w:lang w:val="es-ES_tradnl"/>
        </w:rPr>
        <w:t>Racional:</w:t>
      </w:r>
      <w:r w:rsidRPr="00BE20A7">
        <w:rPr>
          <w:sz w:val="24"/>
          <w:szCs w:val="24"/>
          <w:lang w:val="es-ES_tradnl"/>
        </w:rPr>
        <w:t xml:space="preserve"> El Massachusetts Institute of Technology en su Atlas of Economic Complexity del (MIT)</w:t>
      </w:r>
      <w:r w:rsidRPr="00BE20A7">
        <w:rPr>
          <w:sz w:val="24"/>
          <w:szCs w:val="24"/>
        </w:rPr>
        <w:footnoteReference w:id="13"/>
      </w:r>
      <w:r w:rsidRPr="00BE20A7">
        <w:rPr>
          <w:sz w:val="24"/>
          <w:szCs w:val="24"/>
          <w:lang w:val="es-ES_tradnl"/>
        </w:rPr>
        <w:t xml:space="preserve">, identifica los sectores de actividad con mayor capacidad exportadora de la economía española.  La pertenencia a estos sectores más atractivos podría ofrecer mayores oportunidades de crecimiento y por ende, de empleo y generación de riqueza. </w:t>
      </w:r>
    </w:p>
    <w:p w:rsidR="000F2C9E" w:rsidRPr="00BE20A7" w:rsidRDefault="000F2C9E" w:rsidP="000F2C9E">
      <w:pPr>
        <w:rPr>
          <w:i/>
          <w:sz w:val="24"/>
          <w:szCs w:val="24"/>
          <w:lang w:val="es-ES_tradnl"/>
        </w:rPr>
      </w:pPr>
      <w:r w:rsidRPr="00BE20A7">
        <w:rPr>
          <w:i/>
          <w:sz w:val="24"/>
          <w:szCs w:val="24"/>
          <w:lang w:val="es-ES_tradnl"/>
        </w:rPr>
        <w:t>B3. Sectores de la salud, tecnologías de la información y economía verde.</w:t>
      </w:r>
    </w:p>
    <w:p w:rsidR="000F2C9E" w:rsidRPr="00BE20A7" w:rsidRDefault="000F2C9E" w:rsidP="000F2C9E">
      <w:pPr>
        <w:pStyle w:val="Prrafodelista"/>
        <w:numPr>
          <w:ilvl w:val="0"/>
          <w:numId w:val="51"/>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Actividad del centro especial de empleo en los sectores de la salud, tecnologías de la información y economía verde.</w:t>
      </w:r>
    </w:p>
    <w:p w:rsidR="000F2C9E" w:rsidRPr="00BE20A7" w:rsidRDefault="000F2C9E" w:rsidP="000F2C9E">
      <w:pPr>
        <w:pStyle w:val="Prrafodelista"/>
        <w:numPr>
          <w:ilvl w:val="0"/>
          <w:numId w:val="40"/>
        </w:numPr>
        <w:spacing w:after="200" w:line="276" w:lineRule="auto"/>
        <w:ind w:left="360"/>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la pertenencia a estos sectores con mayor potencial de crecimiento, como salud, tecnologías de la información y economía verde, podrían ofrecer mayores oportunidades de crecimiento y por ende, de empleo y generación de riqueza. </w:t>
      </w:r>
    </w:p>
    <w:p w:rsidR="000F2C9E" w:rsidRPr="00BE20A7" w:rsidRDefault="000F2C9E" w:rsidP="000F2C9E">
      <w:pPr>
        <w:rPr>
          <w:i/>
          <w:sz w:val="24"/>
          <w:szCs w:val="24"/>
          <w:lang w:val="es-ES_tradnl"/>
        </w:rPr>
      </w:pPr>
      <w:r w:rsidRPr="00BE20A7">
        <w:rPr>
          <w:i/>
          <w:sz w:val="24"/>
          <w:szCs w:val="24"/>
          <w:lang w:val="es-ES_tradnl"/>
        </w:rPr>
        <w:t>B4. Valor añadido bruto del sector de actividad</w:t>
      </w:r>
    </w:p>
    <w:p w:rsidR="000F2C9E" w:rsidRPr="00BE20A7" w:rsidRDefault="000F2C9E" w:rsidP="000F2C9E">
      <w:pPr>
        <w:pStyle w:val="Prrafodelista"/>
        <w:numPr>
          <w:ilvl w:val="0"/>
          <w:numId w:val="45"/>
        </w:numPr>
        <w:spacing w:after="200" w:line="276" w:lineRule="auto"/>
        <w:ind w:left="284" w:hanging="284"/>
        <w:rPr>
          <w:sz w:val="24"/>
          <w:szCs w:val="24"/>
          <w:lang w:val="es-ES_tradnl"/>
        </w:rPr>
      </w:pPr>
      <w:r w:rsidRPr="00BE20A7">
        <w:rPr>
          <w:b/>
          <w:sz w:val="24"/>
          <w:szCs w:val="24"/>
          <w:lang w:val="es-ES_tradnl"/>
        </w:rPr>
        <w:t>Definición:</w:t>
      </w:r>
      <w:r w:rsidRPr="00BE20A7">
        <w:rPr>
          <w:sz w:val="24"/>
          <w:szCs w:val="24"/>
          <w:lang w:val="es-ES_tradnl"/>
        </w:rPr>
        <w:t xml:space="preserve"> Valor añadido bruto relativo del principal sector de actividad del centro especial de empleo según la clasificación por código NACE rev.2</w:t>
      </w:r>
    </w:p>
    <w:p w:rsidR="000F2C9E" w:rsidRPr="00BE20A7" w:rsidRDefault="000F2C9E" w:rsidP="000F2C9E">
      <w:pPr>
        <w:pStyle w:val="Prrafodelista"/>
        <w:numPr>
          <w:ilvl w:val="0"/>
          <w:numId w:val="45"/>
        </w:numPr>
        <w:spacing w:after="200" w:line="276" w:lineRule="auto"/>
        <w:ind w:left="284" w:hanging="284"/>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las organizaciones que operan en sectores económicos que generan más valor añadido contribuyen en mayor medida a la generación de riqueza y se trata de compañías cuya capacidad de competir es mayor. </w:t>
      </w:r>
    </w:p>
    <w:p w:rsidR="000F2C9E" w:rsidRPr="00BE20A7" w:rsidRDefault="000F2C9E" w:rsidP="000F2C9E">
      <w:pPr>
        <w:rPr>
          <w:i/>
          <w:sz w:val="24"/>
          <w:szCs w:val="24"/>
          <w:lang w:val="es-ES_tradnl"/>
        </w:rPr>
      </w:pPr>
      <w:r w:rsidRPr="00BE20A7">
        <w:rPr>
          <w:i/>
          <w:sz w:val="24"/>
          <w:szCs w:val="24"/>
          <w:lang w:val="es-ES_tradnl"/>
        </w:rPr>
        <w:t>B5. Potencial de generación de riqueza</w:t>
      </w:r>
    </w:p>
    <w:p w:rsidR="000F2C9E" w:rsidRPr="00BE20A7" w:rsidRDefault="000F2C9E" w:rsidP="000F2C9E">
      <w:pPr>
        <w:pStyle w:val="Prrafodelista"/>
        <w:numPr>
          <w:ilvl w:val="0"/>
          <w:numId w:val="45"/>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Potencial de generación de riqueza del principal sector de actividad de la empresa según la clasificación por código NACE rev.2.</w:t>
      </w:r>
    </w:p>
    <w:p w:rsidR="000F2C9E" w:rsidRPr="00802480" w:rsidRDefault="000F2C9E" w:rsidP="00802480">
      <w:pPr>
        <w:pStyle w:val="Prrafodelista"/>
        <w:numPr>
          <w:ilvl w:val="0"/>
          <w:numId w:val="45"/>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la pertenencia a sectores económicos con una mayor capacidad de arrastre sobre el conjunto de la economía constituye un indicador de posición competitiva. </w:t>
      </w:r>
    </w:p>
    <w:p w:rsidR="000F2C9E" w:rsidRPr="00BE20A7" w:rsidRDefault="000F2C9E" w:rsidP="000F2C9E">
      <w:pPr>
        <w:pStyle w:val="Prrafodelista"/>
        <w:ind w:left="284"/>
        <w:rPr>
          <w:sz w:val="24"/>
          <w:szCs w:val="24"/>
          <w:lang w:val="es-ES_tradnl"/>
        </w:rPr>
      </w:pPr>
    </w:p>
    <w:p w:rsidR="000F2C9E" w:rsidRPr="00BE20A7" w:rsidRDefault="000F2C9E" w:rsidP="000F2C9E">
      <w:pPr>
        <w:rPr>
          <w:i/>
          <w:sz w:val="24"/>
          <w:szCs w:val="24"/>
          <w:lang w:val="es-ES_tradnl"/>
        </w:rPr>
      </w:pPr>
      <w:r w:rsidRPr="00BE20A7">
        <w:rPr>
          <w:i/>
          <w:sz w:val="24"/>
          <w:szCs w:val="24"/>
          <w:lang w:val="es-ES_tradnl"/>
        </w:rPr>
        <w:t>B6. Evolución de las ventas</w:t>
      </w:r>
    </w:p>
    <w:p w:rsidR="000F2C9E" w:rsidRPr="00BE20A7" w:rsidRDefault="000F2C9E" w:rsidP="000F2C9E">
      <w:pPr>
        <w:pStyle w:val="Prrafodelista"/>
        <w:numPr>
          <w:ilvl w:val="0"/>
          <w:numId w:val="41"/>
        </w:numPr>
        <w:tabs>
          <w:tab w:val="clear" w:pos="340"/>
          <w:tab w:val="num" w:pos="-1156"/>
        </w:tabs>
        <w:spacing w:after="200" w:line="276" w:lineRule="auto"/>
        <w:ind w:left="284" w:hanging="284"/>
        <w:rPr>
          <w:sz w:val="24"/>
          <w:szCs w:val="24"/>
          <w:lang w:val="es-ES_tradnl"/>
        </w:rPr>
      </w:pPr>
      <w:r w:rsidRPr="00BE20A7">
        <w:rPr>
          <w:b/>
          <w:sz w:val="24"/>
          <w:szCs w:val="24"/>
          <w:lang w:val="es-ES_tradnl"/>
        </w:rPr>
        <w:t>Definición:</w:t>
      </w:r>
      <w:r w:rsidRPr="00BE20A7">
        <w:rPr>
          <w:sz w:val="24"/>
          <w:szCs w:val="24"/>
          <w:lang w:val="es-ES_tradnl"/>
        </w:rPr>
        <w:t xml:space="preserve"> evolución de las ventas o la facturación del centro especial de empleo a lo largo de los tres últimos ejercicios.</w:t>
      </w:r>
    </w:p>
    <w:p w:rsidR="000F2C9E" w:rsidRPr="00BE20A7" w:rsidRDefault="000F2C9E" w:rsidP="000F2C9E">
      <w:pPr>
        <w:pStyle w:val="Prrafodelista"/>
        <w:numPr>
          <w:ilvl w:val="0"/>
          <w:numId w:val="41"/>
        </w:numPr>
        <w:tabs>
          <w:tab w:val="clear" w:pos="340"/>
          <w:tab w:val="num" w:pos="284"/>
        </w:tabs>
        <w:spacing w:after="200" w:line="276" w:lineRule="auto"/>
        <w:ind w:left="284" w:hanging="284"/>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la evolución de las ventas es indicador de la salud del negocio. </w:t>
      </w:r>
    </w:p>
    <w:p w:rsidR="000F2C9E" w:rsidRPr="00BE20A7" w:rsidRDefault="000F2C9E" w:rsidP="000F2C9E">
      <w:pPr>
        <w:pStyle w:val="Prrafodelista"/>
        <w:spacing w:before="144" w:after="120"/>
        <w:ind w:left="568"/>
        <w:rPr>
          <w:sz w:val="24"/>
          <w:szCs w:val="24"/>
          <w:lang w:val="es-ES_tradnl"/>
        </w:rPr>
      </w:pPr>
    </w:p>
    <w:p w:rsidR="000F2C9E" w:rsidRPr="00BE20A7" w:rsidRDefault="000F2C9E" w:rsidP="000F2C9E">
      <w:pPr>
        <w:rPr>
          <w:i/>
          <w:sz w:val="24"/>
          <w:szCs w:val="24"/>
          <w:lang w:val="es-ES_tradnl"/>
        </w:rPr>
      </w:pPr>
      <w:r w:rsidRPr="00BE20A7">
        <w:rPr>
          <w:i/>
          <w:sz w:val="24"/>
          <w:szCs w:val="24"/>
          <w:lang w:val="es-ES_tradnl"/>
        </w:rPr>
        <w:t>B7. Consistencia en los resultados</w:t>
      </w:r>
    </w:p>
    <w:p w:rsidR="000F2C9E" w:rsidRPr="00BE20A7" w:rsidRDefault="000F2C9E" w:rsidP="000F2C9E">
      <w:pPr>
        <w:pStyle w:val="Prrafodelista"/>
        <w:numPr>
          <w:ilvl w:val="0"/>
          <w:numId w:val="41"/>
        </w:numPr>
        <w:tabs>
          <w:tab w:val="clear" w:pos="340"/>
          <w:tab w:val="num" w:pos="-1156"/>
        </w:tabs>
        <w:spacing w:after="200" w:line="276" w:lineRule="auto"/>
        <w:ind w:left="284" w:hanging="284"/>
        <w:rPr>
          <w:sz w:val="24"/>
          <w:szCs w:val="24"/>
          <w:lang w:val="es-ES_tradnl"/>
        </w:rPr>
      </w:pPr>
      <w:r w:rsidRPr="00BE20A7">
        <w:rPr>
          <w:b/>
          <w:sz w:val="24"/>
          <w:szCs w:val="24"/>
          <w:lang w:val="es-ES_tradnl"/>
        </w:rPr>
        <w:t>Definición:</w:t>
      </w:r>
      <w:r w:rsidRPr="00BE20A7">
        <w:rPr>
          <w:sz w:val="24"/>
          <w:szCs w:val="24"/>
          <w:lang w:val="es-ES_tradnl"/>
        </w:rPr>
        <w:t xml:space="preserve"> resultados del ejercicio positivos durante dos años consecutivos.</w:t>
      </w:r>
    </w:p>
    <w:p w:rsidR="000F2C9E" w:rsidRPr="00BE20A7" w:rsidRDefault="000F2C9E" w:rsidP="000F2C9E">
      <w:pPr>
        <w:pStyle w:val="Prrafodelista"/>
        <w:numPr>
          <w:ilvl w:val="0"/>
          <w:numId w:val="41"/>
        </w:numPr>
        <w:tabs>
          <w:tab w:val="clear" w:pos="340"/>
          <w:tab w:val="num" w:pos="284"/>
        </w:tabs>
        <w:spacing w:after="200" w:line="276" w:lineRule="auto"/>
        <w:ind w:left="284" w:hanging="284"/>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el resultado es indicador de la solidez y la sostenibilidad del negocio en el largo plazo. </w:t>
      </w:r>
    </w:p>
    <w:p w:rsidR="000F2C9E" w:rsidRPr="00BE20A7" w:rsidRDefault="000F2C9E" w:rsidP="000F2C9E">
      <w:pPr>
        <w:rPr>
          <w:i/>
          <w:sz w:val="24"/>
          <w:szCs w:val="24"/>
          <w:lang w:val="es-ES_tradnl"/>
        </w:rPr>
      </w:pPr>
      <w:r w:rsidRPr="00BE20A7">
        <w:rPr>
          <w:i/>
          <w:sz w:val="24"/>
          <w:szCs w:val="24"/>
          <w:lang w:val="es-ES_tradnl"/>
        </w:rPr>
        <w:t xml:space="preserve">B8. Intensidad en inversión en I+D  </w:t>
      </w:r>
    </w:p>
    <w:p w:rsidR="000F2C9E" w:rsidRPr="00BE20A7" w:rsidRDefault="000F2C9E" w:rsidP="000F2C9E">
      <w:pPr>
        <w:pStyle w:val="Prrafodelista"/>
        <w:numPr>
          <w:ilvl w:val="0"/>
          <w:numId w:val="45"/>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Inversión en I+D  y uso del software del principal sector de actividad del centro especial de empleo según la clasificación por código NACE rev.2.</w:t>
      </w:r>
    </w:p>
    <w:p w:rsidR="000F2C9E" w:rsidRPr="00802480" w:rsidRDefault="000F2C9E" w:rsidP="00802480">
      <w:pPr>
        <w:pStyle w:val="Prrafodelista"/>
        <w:numPr>
          <w:ilvl w:val="0"/>
          <w:numId w:val="45"/>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La inversión en I+D y la utilización de software favorecen la capacidad de una organización de ofrecer productos y servicios a sus clientes de mayor valor añadido, además son un factor clave para mejorar la eficiencia de los procesos y actividades que se llevan cabo en las organizaciones. Cuanto mayor sea el ratio mayor será la utilización de software en el sector y en I+D. </w:t>
      </w:r>
    </w:p>
    <w:p w:rsidR="000F2C9E" w:rsidRPr="00606984" w:rsidRDefault="000F2C9E" w:rsidP="000F2C9E">
      <w:pPr>
        <w:pStyle w:val="Ttulo2"/>
        <w:rPr>
          <w:lang w:val="es-ES_tradnl"/>
        </w:rPr>
      </w:pPr>
      <w:bookmarkStart w:id="331" w:name="_Toc410916911"/>
      <w:r w:rsidRPr="00606984">
        <w:rPr>
          <w:lang w:val="es-ES_tradnl"/>
        </w:rPr>
        <w:t>Evaluación del Impacto Social</w:t>
      </w:r>
      <w:bookmarkEnd w:id="331"/>
    </w:p>
    <w:p w:rsidR="000F2C9E" w:rsidRDefault="000F2C9E" w:rsidP="000F2C9E">
      <w:pPr>
        <w:rPr>
          <w:i/>
          <w:sz w:val="24"/>
          <w:szCs w:val="24"/>
          <w:lang w:val="es-ES_tradnl"/>
        </w:rPr>
      </w:pPr>
    </w:p>
    <w:p w:rsidR="000F2C9E" w:rsidRPr="00BE20A7" w:rsidRDefault="000F2C9E" w:rsidP="000F2C9E">
      <w:pPr>
        <w:rPr>
          <w:i/>
          <w:sz w:val="24"/>
          <w:szCs w:val="24"/>
          <w:lang w:val="es-ES_tradnl"/>
        </w:rPr>
      </w:pPr>
      <w:r w:rsidRPr="00BE20A7">
        <w:rPr>
          <w:i/>
          <w:sz w:val="24"/>
          <w:szCs w:val="24"/>
          <w:lang w:val="es-ES_tradnl"/>
        </w:rPr>
        <w:t>C.1 Estructura de la propiedad</w:t>
      </w:r>
    </w:p>
    <w:p w:rsidR="000F2C9E" w:rsidRPr="00BE20A7" w:rsidRDefault="000F2C9E" w:rsidP="000F2C9E">
      <w:pPr>
        <w:pStyle w:val="Prrafodelista"/>
        <w:numPr>
          <w:ilvl w:val="0"/>
          <w:numId w:val="52"/>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Estructura de la propiedad de un centro especial de empleo, prestando especial atención a los </w:t>
      </w:r>
      <w:r w:rsidR="00263316">
        <w:rPr>
          <w:sz w:val="24"/>
          <w:szCs w:val="24"/>
          <w:lang w:val="es-ES_tradnl"/>
        </w:rPr>
        <w:t>CEEs</w:t>
      </w:r>
      <w:r w:rsidRPr="00BE20A7">
        <w:rPr>
          <w:sz w:val="24"/>
          <w:szCs w:val="24"/>
          <w:lang w:val="es-ES_tradnl"/>
        </w:rPr>
        <w:t xml:space="preserve"> de iniciativa social. </w:t>
      </w:r>
    </w:p>
    <w:p w:rsidR="000F2C9E" w:rsidRPr="00BE20A7" w:rsidRDefault="000F2C9E" w:rsidP="000F2C9E">
      <w:pPr>
        <w:pStyle w:val="Prrafodelista"/>
        <w:numPr>
          <w:ilvl w:val="0"/>
          <w:numId w:val="52"/>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los </w:t>
      </w:r>
      <w:r w:rsidR="00263316">
        <w:rPr>
          <w:sz w:val="24"/>
          <w:szCs w:val="24"/>
          <w:lang w:val="es-ES_tradnl"/>
        </w:rPr>
        <w:t>CEEs</w:t>
      </w:r>
      <w:r w:rsidRPr="00BE20A7">
        <w:rPr>
          <w:sz w:val="24"/>
          <w:szCs w:val="24"/>
          <w:lang w:val="es-ES_tradnl"/>
        </w:rPr>
        <w:t xml:space="preserve"> de iniciativa social tienen como fin principal la maximización del impacto social positivo.</w:t>
      </w:r>
    </w:p>
    <w:p w:rsidR="000F2C9E" w:rsidRPr="00BE20A7" w:rsidRDefault="000F2C9E" w:rsidP="000F2C9E">
      <w:pPr>
        <w:rPr>
          <w:i/>
          <w:sz w:val="24"/>
          <w:szCs w:val="24"/>
          <w:lang w:val="es-ES_tradnl"/>
        </w:rPr>
      </w:pPr>
      <w:r w:rsidRPr="00BE20A7">
        <w:rPr>
          <w:i/>
          <w:sz w:val="24"/>
          <w:szCs w:val="24"/>
          <w:lang w:val="es-ES_tradnl"/>
        </w:rPr>
        <w:t>C.2. Empleo de personas con discapacidad</w:t>
      </w:r>
    </w:p>
    <w:p w:rsidR="000F2C9E" w:rsidRPr="00BE20A7" w:rsidRDefault="000F2C9E" w:rsidP="000F2C9E">
      <w:pPr>
        <w:pStyle w:val="Prrafodelista"/>
        <w:numPr>
          <w:ilvl w:val="0"/>
          <w:numId w:val="70"/>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Número de personas con discapacidad empleadas por un centro.</w:t>
      </w:r>
    </w:p>
    <w:p w:rsidR="000F2C9E" w:rsidRPr="00BE20A7" w:rsidRDefault="000F2C9E" w:rsidP="000F2C9E">
      <w:pPr>
        <w:pStyle w:val="Prrafodelista"/>
        <w:numPr>
          <w:ilvl w:val="0"/>
          <w:numId w:val="70"/>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Entendimiento que la razón de ser de los </w:t>
      </w:r>
      <w:r w:rsidR="00263316">
        <w:rPr>
          <w:sz w:val="24"/>
          <w:szCs w:val="24"/>
          <w:lang w:val="es-ES_tradnl"/>
        </w:rPr>
        <w:t>CEEs</w:t>
      </w:r>
      <w:r w:rsidRPr="00BE20A7">
        <w:rPr>
          <w:sz w:val="24"/>
          <w:szCs w:val="24"/>
          <w:lang w:val="es-ES_tradnl"/>
        </w:rPr>
        <w:t xml:space="preserve"> es ofrecer oportunidades laborales y de desarrollo profesional a las personas con discapacidad. Se entiende que un mayor número de personas con discapacidad empleadas es indicador de mayor impacto social.</w:t>
      </w:r>
    </w:p>
    <w:p w:rsidR="000F2C9E" w:rsidRPr="00BE20A7" w:rsidRDefault="000F2C9E" w:rsidP="000F2C9E">
      <w:pPr>
        <w:pStyle w:val="Prrafodelista"/>
        <w:ind w:left="927"/>
        <w:rPr>
          <w:sz w:val="24"/>
          <w:szCs w:val="24"/>
          <w:lang w:val="es-ES_tradnl"/>
        </w:rPr>
      </w:pPr>
    </w:p>
    <w:p w:rsidR="000F2C9E" w:rsidRPr="00BE20A7" w:rsidRDefault="000F2C9E" w:rsidP="00802DE0">
      <w:pPr>
        <w:keepNext/>
        <w:rPr>
          <w:i/>
          <w:sz w:val="24"/>
          <w:szCs w:val="24"/>
          <w:lang w:val="es-ES_tradnl"/>
        </w:rPr>
      </w:pPr>
      <w:r w:rsidRPr="00BE20A7">
        <w:rPr>
          <w:i/>
          <w:sz w:val="24"/>
          <w:szCs w:val="24"/>
          <w:lang w:val="es-ES_tradnl"/>
        </w:rPr>
        <w:t>C.3. Evolución del empleo de personas con discapacidad en los últimos 3 años.</w:t>
      </w:r>
    </w:p>
    <w:p w:rsidR="000F2C9E" w:rsidRPr="00BE20A7" w:rsidRDefault="000F2C9E" w:rsidP="000F2C9E">
      <w:pPr>
        <w:pStyle w:val="Prrafodelista"/>
        <w:numPr>
          <w:ilvl w:val="0"/>
          <w:numId w:val="47"/>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Evolución neta del número de empleados con discapacidad durante los últimos tres años. </w:t>
      </w:r>
    </w:p>
    <w:p w:rsidR="000F2C9E" w:rsidRPr="00BE20A7" w:rsidRDefault="000F2C9E" w:rsidP="000F2C9E">
      <w:pPr>
        <w:pStyle w:val="Prrafodelista"/>
        <w:numPr>
          <w:ilvl w:val="0"/>
          <w:numId w:val="47"/>
        </w:numPr>
        <w:spacing w:after="200" w:line="276" w:lineRule="auto"/>
        <w:rPr>
          <w:b/>
          <w:sz w:val="24"/>
          <w:szCs w:val="24"/>
          <w:lang w:val="es-ES_tradnl"/>
        </w:rPr>
      </w:pPr>
      <w:r w:rsidRPr="00BE20A7">
        <w:rPr>
          <w:b/>
          <w:sz w:val="24"/>
          <w:szCs w:val="24"/>
          <w:lang w:val="es-ES_tradnl"/>
        </w:rPr>
        <w:t>Racional:</w:t>
      </w:r>
      <w:r w:rsidRPr="00BE20A7">
        <w:rPr>
          <w:sz w:val="24"/>
          <w:szCs w:val="24"/>
          <w:lang w:val="es-ES_tradnl"/>
        </w:rPr>
        <w:t xml:space="preserve"> Entendiendo que la razón de ser de los </w:t>
      </w:r>
      <w:r w:rsidR="00263316">
        <w:rPr>
          <w:sz w:val="24"/>
          <w:szCs w:val="24"/>
          <w:lang w:val="es-ES_tradnl"/>
        </w:rPr>
        <w:t>CEEs</w:t>
      </w:r>
      <w:r w:rsidRPr="00BE20A7">
        <w:rPr>
          <w:sz w:val="24"/>
          <w:szCs w:val="24"/>
          <w:lang w:val="es-ES_tradnl"/>
        </w:rPr>
        <w:t xml:space="preserve"> es ofrecer oportunidades laborales y de desarrollo profesional a las personas con discapacidad. Se entiende que el crecimiento en el empleo es indicador de impacto social positivo.</w:t>
      </w:r>
      <w:r w:rsidRPr="00BE20A7">
        <w:rPr>
          <w:b/>
          <w:sz w:val="24"/>
          <w:szCs w:val="24"/>
          <w:lang w:val="es-ES_tradnl"/>
        </w:rPr>
        <w:t xml:space="preserve"> </w:t>
      </w:r>
    </w:p>
    <w:p w:rsidR="000F2C9E" w:rsidRPr="00BE20A7" w:rsidRDefault="000F2C9E" w:rsidP="000F2C9E">
      <w:pPr>
        <w:rPr>
          <w:i/>
          <w:sz w:val="24"/>
          <w:szCs w:val="24"/>
          <w:lang w:val="es-ES_tradnl"/>
        </w:rPr>
      </w:pPr>
      <w:r w:rsidRPr="00BE20A7">
        <w:rPr>
          <w:i/>
          <w:sz w:val="24"/>
          <w:szCs w:val="24"/>
          <w:lang w:val="es-ES_tradnl"/>
        </w:rPr>
        <w:t>C.4. Estabilidad en el empleo</w:t>
      </w:r>
    </w:p>
    <w:p w:rsidR="000F2C9E" w:rsidRPr="00BE20A7" w:rsidRDefault="000F2C9E" w:rsidP="000F2C9E">
      <w:pPr>
        <w:pStyle w:val="Prrafodelista"/>
        <w:numPr>
          <w:ilvl w:val="0"/>
          <w:numId w:val="53"/>
        </w:numPr>
        <w:spacing w:after="200" w:line="276" w:lineRule="auto"/>
        <w:rPr>
          <w:sz w:val="24"/>
          <w:szCs w:val="24"/>
          <w:lang w:val="es-ES_tradnl"/>
        </w:rPr>
      </w:pPr>
      <w:r w:rsidRPr="00BE20A7">
        <w:rPr>
          <w:b/>
          <w:sz w:val="24"/>
          <w:szCs w:val="24"/>
          <w:lang w:val="es-ES_tradnl"/>
        </w:rPr>
        <w:t>Definición: Ratio</w:t>
      </w:r>
      <w:r w:rsidRPr="00BE20A7">
        <w:rPr>
          <w:sz w:val="24"/>
          <w:szCs w:val="24"/>
          <w:lang w:val="es-ES_tradnl"/>
        </w:rPr>
        <w:t xml:space="preserve"> de personas con discapacidad con contrato indefinido sobre el total de personas con discapacidad empleadas. </w:t>
      </w:r>
    </w:p>
    <w:p w:rsidR="000F2C9E" w:rsidRPr="00BE20A7" w:rsidRDefault="000F2C9E" w:rsidP="000F2C9E">
      <w:pPr>
        <w:pStyle w:val="Prrafodelista"/>
        <w:ind w:left="284"/>
        <w:rPr>
          <w:sz w:val="24"/>
          <w:szCs w:val="24"/>
          <w:lang w:val="es-ES_tradnl"/>
        </w:rPr>
      </w:pPr>
    </w:p>
    <w:p w:rsidR="000F2C9E" w:rsidRPr="00BE20A7" w:rsidRDefault="000F2C9E" w:rsidP="000F2C9E">
      <w:pPr>
        <w:pStyle w:val="Prrafodelista"/>
        <w:spacing w:before="120"/>
        <w:ind w:left="284"/>
        <w:jc w:val="center"/>
        <w:rPr>
          <w:sz w:val="24"/>
          <w:szCs w:val="24"/>
          <w:lang w:val="es-ES_tradnl"/>
        </w:rPr>
      </w:pPr>
      <m:oMathPara>
        <m:oMath>
          <m:r>
            <m:rPr>
              <m:nor/>
            </m:rPr>
            <w:rPr>
              <w:sz w:val="20"/>
              <w:lang w:val="es-ES_tradnl"/>
            </w:rPr>
            <m:t>Estabilidad=</m:t>
          </m:r>
          <m:f>
            <m:fPr>
              <m:ctrlPr>
                <w:rPr>
                  <w:rFonts w:ascii="Cambria Math" w:hAnsi="Cambria Math"/>
                  <w:sz w:val="20"/>
                  <w:lang w:val="es-ES_tradnl"/>
                </w:rPr>
              </m:ctrlPr>
            </m:fPr>
            <m:num>
              <m:r>
                <m:rPr>
                  <m:nor/>
                </m:rPr>
                <w:rPr>
                  <w:sz w:val="20"/>
                  <w:lang w:val="es-ES_tradnl"/>
                </w:rPr>
                <m:t>PCD con contrato indefinido</m:t>
              </m:r>
            </m:num>
            <m:den>
              <m:r>
                <m:rPr>
                  <m:nor/>
                </m:rPr>
                <w:rPr>
                  <w:sz w:val="20"/>
                  <w:lang w:val="es-ES_tradnl"/>
                </w:rPr>
                <m:t>PCD totales</m:t>
              </m:r>
            </m:den>
          </m:f>
          <m:r>
            <m:rPr>
              <m:nor/>
            </m:rPr>
            <w:rPr>
              <w:sz w:val="20"/>
              <w:lang w:val="es-ES_tradnl"/>
            </w:rPr>
            <m:t xml:space="preserve">     </m:t>
          </m:r>
        </m:oMath>
      </m:oMathPara>
    </w:p>
    <w:p w:rsidR="000F2C9E" w:rsidRPr="00BE20A7" w:rsidRDefault="000F2C9E" w:rsidP="000F2C9E">
      <w:pPr>
        <w:pStyle w:val="Prrafodelista"/>
        <w:spacing w:before="120"/>
        <w:ind w:left="284"/>
        <w:rPr>
          <w:sz w:val="24"/>
          <w:szCs w:val="24"/>
          <w:lang w:val="es-ES_tradnl"/>
        </w:rPr>
      </w:pPr>
    </w:p>
    <w:p w:rsidR="000F2C9E" w:rsidRPr="00BE20A7" w:rsidRDefault="000F2C9E" w:rsidP="000F2C9E">
      <w:pPr>
        <w:pStyle w:val="Prrafodelista"/>
        <w:numPr>
          <w:ilvl w:val="0"/>
          <w:numId w:val="54"/>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La estabilidad en el empleo constituye un impacto social positivo.</w:t>
      </w:r>
    </w:p>
    <w:p w:rsidR="000F2C9E" w:rsidRPr="00BE20A7" w:rsidRDefault="000F2C9E" w:rsidP="000F2C9E">
      <w:pPr>
        <w:rPr>
          <w:sz w:val="24"/>
          <w:szCs w:val="24"/>
          <w:lang w:val="es-ES_tradnl"/>
        </w:rPr>
      </w:pPr>
      <w:r w:rsidRPr="00BE20A7">
        <w:rPr>
          <w:i/>
          <w:sz w:val="24"/>
          <w:szCs w:val="24"/>
          <w:lang w:val="es-ES_tradnl"/>
        </w:rPr>
        <w:t>C.5. Evolución de la estabilidad en el empleo</w:t>
      </w:r>
    </w:p>
    <w:p w:rsidR="000F2C9E" w:rsidRPr="00BE20A7" w:rsidRDefault="000F2C9E" w:rsidP="000F2C9E">
      <w:pPr>
        <w:pStyle w:val="Prrafodelista"/>
        <w:numPr>
          <w:ilvl w:val="0"/>
          <w:numId w:val="47"/>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Evolución del número de empleados con contrato indefinido en los últimos tres años.</w:t>
      </w:r>
    </w:p>
    <w:p w:rsidR="000F2C9E" w:rsidRPr="00BE20A7" w:rsidRDefault="000F2C9E" w:rsidP="000F2C9E">
      <w:pPr>
        <w:pStyle w:val="Prrafodelista"/>
        <w:numPr>
          <w:ilvl w:val="0"/>
          <w:numId w:val="47"/>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Entendiendo que la estabilidad en el empleo es un impacto social positivo y que la evolución del indicador permite evaluarla. </w:t>
      </w:r>
    </w:p>
    <w:p w:rsidR="000F2C9E" w:rsidRPr="00BE20A7" w:rsidRDefault="000F2C9E" w:rsidP="000F2C9E">
      <w:pPr>
        <w:rPr>
          <w:i/>
          <w:sz w:val="24"/>
          <w:szCs w:val="24"/>
          <w:lang w:val="es-ES_tradnl"/>
        </w:rPr>
      </w:pPr>
      <w:r w:rsidRPr="00BE20A7">
        <w:rPr>
          <w:i/>
          <w:sz w:val="24"/>
          <w:szCs w:val="24"/>
          <w:lang w:val="es-ES_tradnl"/>
        </w:rPr>
        <w:t>C.6. Equidad salarial</w:t>
      </w:r>
    </w:p>
    <w:p w:rsidR="000F2C9E" w:rsidRPr="00BE20A7" w:rsidRDefault="000F2C9E" w:rsidP="000F2C9E">
      <w:pPr>
        <w:pStyle w:val="Prrafodelista"/>
        <w:numPr>
          <w:ilvl w:val="0"/>
          <w:numId w:val="55"/>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Ratio entre el salario medio, calculado como gastos de personal dividido entre el número de empleados en plantilla, y el salario medio nacional ofrecido a personas con discapacidad.</w:t>
      </w:r>
    </w:p>
    <w:p w:rsidR="000F2C9E" w:rsidRPr="00BE20A7" w:rsidRDefault="000F2C9E" w:rsidP="000F2C9E">
      <w:pPr>
        <w:pStyle w:val="Prrafodelista"/>
        <w:numPr>
          <w:ilvl w:val="0"/>
          <w:numId w:val="55"/>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Las condiciones salariales son un indicador acerca de la calidad del empleo y, por lo tanto, del impacto social positivo de los </w:t>
      </w:r>
      <w:r w:rsidR="00263316">
        <w:rPr>
          <w:sz w:val="24"/>
          <w:szCs w:val="24"/>
          <w:lang w:val="es-ES_tradnl"/>
        </w:rPr>
        <w:t>CEEs</w:t>
      </w:r>
      <w:r w:rsidRPr="00BE20A7">
        <w:rPr>
          <w:sz w:val="24"/>
          <w:szCs w:val="24"/>
          <w:lang w:val="es-ES_tradnl"/>
        </w:rPr>
        <w:t>.</w:t>
      </w:r>
    </w:p>
    <w:p w:rsidR="000F2C9E" w:rsidRPr="00BE20A7" w:rsidRDefault="000F2C9E" w:rsidP="000F2C9E">
      <w:pPr>
        <w:rPr>
          <w:i/>
          <w:sz w:val="24"/>
          <w:szCs w:val="24"/>
          <w:lang w:val="es-ES_tradnl"/>
        </w:rPr>
      </w:pPr>
      <w:r w:rsidRPr="00BE20A7">
        <w:rPr>
          <w:i/>
          <w:sz w:val="24"/>
          <w:szCs w:val="24"/>
          <w:lang w:val="es-ES_tradnl"/>
        </w:rPr>
        <w:t xml:space="preserve">C.7. Equidad de las personas con </w:t>
      </w:r>
      <w:r w:rsidR="00F72EDA">
        <w:rPr>
          <w:i/>
          <w:sz w:val="24"/>
          <w:szCs w:val="24"/>
          <w:lang w:val="es-ES_tradnl"/>
        </w:rPr>
        <w:t>especiales dificultades.</w:t>
      </w:r>
    </w:p>
    <w:p w:rsidR="0041661D" w:rsidRDefault="000F2C9E" w:rsidP="0041661D">
      <w:pPr>
        <w:pStyle w:val="Prrafodelista"/>
        <w:numPr>
          <w:ilvl w:val="0"/>
          <w:numId w:val="56"/>
        </w:numPr>
        <w:spacing w:after="200" w:line="276" w:lineRule="auto"/>
        <w:ind w:left="360"/>
        <w:rPr>
          <w:sz w:val="24"/>
          <w:szCs w:val="24"/>
          <w:lang w:val="es-ES_tradnl"/>
        </w:rPr>
      </w:pPr>
      <w:r w:rsidRPr="00BE20A7">
        <w:rPr>
          <w:b/>
          <w:sz w:val="24"/>
          <w:szCs w:val="24"/>
          <w:lang w:val="es-ES_tradnl"/>
        </w:rPr>
        <w:t>Definición:</w:t>
      </w:r>
      <w:r w:rsidRPr="00BE20A7">
        <w:rPr>
          <w:sz w:val="24"/>
          <w:szCs w:val="24"/>
          <w:lang w:val="es-ES_tradnl"/>
        </w:rPr>
        <w:t xml:space="preserve"> Empleados con </w:t>
      </w:r>
      <w:r w:rsidR="00F72EDA">
        <w:rPr>
          <w:sz w:val="24"/>
          <w:szCs w:val="24"/>
          <w:lang w:val="es-ES_tradnl"/>
        </w:rPr>
        <w:t>especiales dificultades</w:t>
      </w:r>
      <w:r w:rsidRPr="00BE20A7">
        <w:rPr>
          <w:sz w:val="24"/>
          <w:szCs w:val="24"/>
          <w:lang w:val="es-ES_tradnl"/>
        </w:rPr>
        <w:t>, sobre el total de personas con discapacidad empleadas por el centro, que cumplan una de las siguientes condiciones:</w:t>
      </w:r>
    </w:p>
    <w:p w:rsidR="0041661D" w:rsidRPr="0041661D" w:rsidRDefault="0041661D" w:rsidP="0041661D">
      <w:pPr>
        <w:pStyle w:val="Prrafodelista"/>
        <w:numPr>
          <w:ilvl w:val="0"/>
          <w:numId w:val="85"/>
        </w:numPr>
        <w:spacing w:after="200" w:line="276" w:lineRule="auto"/>
        <w:rPr>
          <w:sz w:val="24"/>
          <w:szCs w:val="24"/>
          <w:lang w:val="es-ES_tradnl"/>
        </w:rPr>
      </w:pPr>
      <w:r w:rsidRPr="0041661D">
        <w:rPr>
          <w:sz w:val="24"/>
          <w:szCs w:val="24"/>
          <w:lang w:val="es-ES_tradnl"/>
        </w:rPr>
        <w:t xml:space="preserve">Personas con parálisis cerebral, personas con enfermedad mental o personas con discapacidad intelectual, con un grado de </w:t>
      </w:r>
      <w:r w:rsidR="004F1B3C">
        <w:rPr>
          <w:sz w:val="24"/>
          <w:szCs w:val="24"/>
          <w:lang w:val="es-ES_tradnl"/>
        </w:rPr>
        <w:t>discapacidad</w:t>
      </w:r>
      <w:r w:rsidRPr="0041661D">
        <w:rPr>
          <w:sz w:val="24"/>
          <w:szCs w:val="24"/>
          <w:lang w:val="es-ES_tradnl"/>
        </w:rPr>
        <w:t xml:space="preserve"> reconocido igual o superior al 33%.</w:t>
      </w:r>
    </w:p>
    <w:p w:rsidR="0041661D" w:rsidRDefault="0041661D" w:rsidP="0041661D">
      <w:pPr>
        <w:pStyle w:val="Prrafodelista"/>
        <w:numPr>
          <w:ilvl w:val="0"/>
          <w:numId w:val="85"/>
        </w:numPr>
        <w:spacing w:after="200" w:line="276" w:lineRule="auto"/>
        <w:rPr>
          <w:sz w:val="24"/>
          <w:szCs w:val="24"/>
          <w:lang w:val="es-ES_tradnl"/>
        </w:rPr>
      </w:pPr>
      <w:r w:rsidRPr="0041661D">
        <w:rPr>
          <w:sz w:val="24"/>
          <w:szCs w:val="24"/>
          <w:lang w:val="es-ES_tradnl"/>
        </w:rPr>
        <w:t xml:space="preserve">Personas con discapacidad física o sensorial con un grado de </w:t>
      </w:r>
      <w:r w:rsidR="004F1B3C">
        <w:rPr>
          <w:sz w:val="24"/>
          <w:szCs w:val="24"/>
          <w:lang w:val="es-ES_tradnl"/>
        </w:rPr>
        <w:t>discapacidad</w:t>
      </w:r>
      <w:r w:rsidRPr="0041661D">
        <w:rPr>
          <w:sz w:val="24"/>
          <w:szCs w:val="24"/>
          <w:lang w:val="es-ES_tradnl"/>
        </w:rPr>
        <w:t xml:space="preserve"> reconocido igual o superior al 65%.</w:t>
      </w:r>
    </w:p>
    <w:p w:rsidR="000F2C9E" w:rsidRPr="0041661D" w:rsidRDefault="000F2C9E" w:rsidP="0041661D">
      <w:pPr>
        <w:pStyle w:val="Prrafodelista"/>
        <w:numPr>
          <w:ilvl w:val="0"/>
          <w:numId w:val="56"/>
        </w:numPr>
        <w:spacing w:after="200" w:line="276" w:lineRule="auto"/>
        <w:ind w:left="360"/>
        <w:rPr>
          <w:sz w:val="24"/>
          <w:szCs w:val="24"/>
          <w:lang w:val="es-ES_tradnl"/>
        </w:rPr>
      </w:pPr>
      <w:r w:rsidRPr="0041661D">
        <w:rPr>
          <w:b/>
          <w:sz w:val="24"/>
          <w:szCs w:val="24"/>
          <w:lang w:val="es-ES_tradnl"/>
        </w:rPr>
        <w:t>Racional:</w:t>
      </w:r>
      <w:r w:rsidRPr="0041661D">
        <w:rPr>
          <w:sz w:val="24"/>
          <w:szCs w:val="24"/>
          <w:lang w:val="es-ES_tradnl"/>
        </w:rPr>
        <w:t xml:space="preserve"> En el entendimiento de que más allá de la contratación de personas con discapacidad, la generación de valor social de los </w:t>
      </w:r>
      <w:r w:rsidR="00263316" w:rsidRPr="0041661D">
        <w:rPr>
          <w:sz w:val="24"/>
          <w:szCs w:val="24"/>
          <w:lang w:val="es-ES_tradnl"/>
        </w:rPr>
        <w:t>CEEs</w:t>
      </w:r>
      <w:r w:rsidRPr="0041661D">
        <w:rPr>
          <w:sz w:val="24"/>
          <w:szCs w:val="24"/>
          <w:lang w:val="es-ES_tradnl"/>
        </w:rPr>
        <w:t xml:space="preserve"> está ligada a su capacidad de ofrecer oportunidades laborales a personas con especiales dificultades.</w:t>
      </w:r>
    </w:p>
    <w:p w:rsidR="000F2C9E" w:rsidRPr="00BE20A7" w:rsidRDefault="000F2C9E" w:rsidP="000F2C9E">
      <w:pPr>
        <w:rPr>
          <w:i/>
          <w:sz w:val="24"/>
          <w:szCs w:val="24"/>
          <w:lang w:val="es-ES_tradnl"/>
        </w:rPr>
      </w:pPr>
      <w:r w:rsidRPr="00BE20A7">
        <w:rPr>
          <w:i/>
          <w:sz w:val="24"/>
          <w:szCs w:val="24"/>
          <w:lang w:val="es-ES_tradnl"/>
        </w:rPr>
        <w:t>C.8. Evolución del empleo de personas con especiales dificultades en los últimos 3 años.</w:t>
      </w:r>
    </w:p>
    <w:p w:rsidR="000F2C9E" w:rsidRPr="00BE20A7" w:rsidRDefault="000F2C9E" w:rsidP="000F2C9E">
      <w:pPr>
        <w:pStyle w:val="Prrafodelista"/>
        <w:numPr>
          <w:ilvl w:val="0"/>
          <w:numId w:val="47"/>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Evolución neta del número de empleados con discapacidad con especiales dificultades durante los últimos tres años. </w:t>
      </w:r>
    </w:p>
    <w:p w:rsidR="000F2C9E" w:rsidRPr="00BE20A7" w:rsidRDefault="000F2C9E" w:rsidP="000F2C9E">
      <w:pPr>
        <w:pStyle w:val="Prrafodelista"/>
        <w:numPr>
          <w:ilvl w:val="0"/>
          <w:numId w:val="47"/>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Entendiendo que la evolución en el empleo de las personas con especiales dificultades es indicador de impacto social positivo. </w:t>
      </w:r>
    </w:p>
    <w:p w:rsidR="000F2C9E" w:rsidRPr="00BE20A7" w:rsidRDefault="000F2C9E" w:rsidP="000F2C9E">
      <w:pPr>
        <w:rPr>
          <w:i/>
          <w:sz w:val="24"/>
          <w:szCs w:val="24"/>
          <w:lang w:val="es-ES_tradnl"/>
        </w:rPr>
      </w:pPr>
      <w:r w:rsidRPr="00BE20A7">
        <w:rPr>
          <w:i/>
          <w:sz w:val="24"/>
          <w:szCs w:val="24"/>
          <w:lang w:val="es-ES_tradnl"/>
        </w:rPr>
        <w:t xml:space="preserve">C.9. Empleo femenino </w:t>
      </w:r>
    </w:p>
    <w:p w:rsidR="000F2C9E" w:rsidRPr="00BE20A7" w:rsidRDefault="000F2C9E" w:rsidP="000F2C9E">
      <w:pPr>
        <w:pStyle w:val="Prrafodelista"/>
        <w:numPr>
          <w:ilvl w:val="0"/>
          <w:numId w:val="58"/>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Mujeres con discapacidad empleadas sobre el total de empleados con discapacidad del centro.</w:t>
      </w:r>
    </w:p>
    <w:p w:rsidR="000F2C9E" w:rsidRPr="00BE20A7" w:rsidRDefault="000F2C9E" w:rsidP="000F2C9E">
      <w:pPr>
        <w:pStyle w:val="Prrafodelista"/>
        <w:numPr>
          <w:ilvl w:val="0"/>
          <w:numId w:val="58"/>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más allá de la contratación de personas con discapacidad, la generación de valor social de los </w:t>
      </w:r>
      <w:r w:rsidR="00263316">
        <w:rPr>
          <w:sz w:val="24"/>
          <w:szCs w:val="24"/>
          <w:lang w:val="es-ES_tradnl"/>
        </w:rPr>
        <w:t>CEEs</w:t>
      </w:r>
      <w:r w:rsidRPr="00BE20A7">
        <w:rPr>
          <w:sz w:val="24"/>
          <w:szCs w:val="24"/>
          <w:lang w:val="es-ES_tradnl"/>
        </w:rPr>
        <w:t xml:space="preserve"> está ligada a su capacidad para ofrecer oportunidades laborales a mujeres, las cuales tienen una mayor dificultad para acceder al mercado laboral.</w:t>
      </w:r>
    </w:p>
    <w:p w:rsidR="000F2C9E" w:rsidRPr="00BE20A7" w:rsidRDefault="000F2C9E" w:rsidP="000F2C9E">
      <w:pPr>
        <w:rPr>
          <w:i/>
          <w:sz w:val="24"/>
          <w:szCs w:val="24"/>
          <w:lang w:val="es-ES_tradnl"/>
        </w:rPr>
      </w:pPr>
      <w:r w:rsidRPr="00BE20A7">
        <w:rPr>
          <w:i/>
          <w:sz w:val="24"/>
          <w:szCs w:val="24"/>
          <w:lang w:val="es-ES_tradnl"/>
        </w:rPr>
        <w:t>C.10. Edad de las personas con discapacidad</w:t>
      </w:r>
    </w:p>
    <w:p w:rsidR="000F2C9E" w:rsidRPr="00BE20A7" w:rsidRDefault="000F2C9E" w:rsidP="000F2C9E">
      <w:pPr>
        <w:pStyle w:val="Prrafodelista"/>
        <w:numPr>
          <w:ilvl w:val="0"/>
          <w:numId w:val="66"/>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Distribución por edad de los empleados con discapacidad empleadas.</w:t>
      </w:r>
    </w:p>
    <w:p w:rsidR="000F2C9E" w:rsidRPr="00BE20A7" w:rsidRDefault="000F2C9E" w:rsidP="000F2C9E">
      <w:pPr>
        <w:pStyle w:val="Prrafodelista"/>
        <w:numPr>
          <w:ilvl w:val="0"/>
          <w:numId w:val="66"/>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En el entendimiento de que más allá de la contratación de personas con discapacidad, la generación de valor social de los </w:t>
      </w:r>
      <w:r w:rsidR="00263316">
        <w:rPr>
          <w:sz w:val="24"/>
          <w:szCs w:val="24"/>
          <w:lang w:val="es-ES_tradnl"/>
        </w:rPr>
        <w:t>CEEs</w:t>
      </w:r>
      <w:r w:rsidRPr="00BE20A7">
        <w:rPr>
          <w:sz w:val="24"/>
          <w:szCs w:val="24"/>
          <w:lang w:val="es-ES_tradnl"/>
        </w:rPr>
        <w:t xml:space="preserve"> está ligada a su capacidad de ofrecer oportunidades laborales a personas con edades en las cuales se tiene una mayor dificultad para acceder al mundo laboral.</w:t>
      </w:r>
    </w:p>
    <w:p w:rsidR="000F2C9E" w:rsidRPr="00BE20A7" w:rsidRDefault="000F2C9E" w:rsidP="000F2C9E">
      <w:pPr>
        <w:rPr>
          <w:i/>
          <w:sz w:val="24"/>
          <w:szCs w:val="24"/>
          <w:lang w:val="es-ES_tradnl"/>
        </w:rPr>
      </w:pPr>
      <w:r w:rsidRPr="00BE20A7">
        <w:rPr>
          <w:i/>
          <w:sz w:val="24"/>
          <w:szCs w:val="24"/>
          <w:lang w:val="es-ES_tradnl"/>
        </w:rPr>
        <w:t>C.11. Nivel de estudios de las personas con discapacidad</w:t>
      </w:r>
    </w:p>
    <w:p w:rsidR="000F2C9E" w:rsidRPr="00BE20A7" w:rsidRDefault="000F2C9E" w:rsidP="000F2C9E">
      <w:pPr>
        <w:numPr>
          <w:ilvl w:val="0"/>
          <w:numId w:val="60"/>
        </w:numPr>
        <w:spacing w:line="276" w:lineRule="auto"/>
        <w:rPr>
          <w:i/>
          <w:sz w:val="24"/>
          <w:szCs w:val="24"/>
          <w:lang w:val="es-ES_tradnl"/>
        </w:rPr>
      </w:pPr>
      <w:r w:rsidRPr="00BE20A7">
        <w:rPr>
          <w:b/>
          <w:sz w:val="24"/>
          <w:szCs w:val="24"/>
          <w:lang w:val="es-ES_tradnl"/>
        </w:rPr>
        <w:t>Definición:</w:t>
      </w:r>
      <w:r w:rsidRPr="00BE20A7">
        <w:rPr>
          <w:sz w:val="24"/>
          <w:szCs w:val="24"/>
          <w:lang w:val="es-ES_tradnl"/>
        </w:rPr>
        <w:t xml:space="preserve"> Distribución por nivel de estudios de las personas con discapacidad empleadas.</w:t>
      </w:r>
    </w:p>
    <w:p w:rsidR="000F2C9E" w:rsidRPr="00BE20A7" w:rsidRDefault="000F2C9E" w:rsidP="000F2C9E">
      <w:pPr>
        <w:numPr>
          <w:ilvl w:val="0"/>
          <w:numId w:val="60"/>
        </w:numPr>
        <w:spacing w:line="276" w:lineRule="auto"/>
        <w:rPr>
          <w:i/>
          <w:sz w:val="24"/>
          <w:szCs w:val="24"/>
          <w:lang w:val="es-ES_tradnl"/>
        </w:rPr>
      </w:pPr>
      <w:r w:rsidRPr="00BE20A7">
        <w:rPr>
          <w:b/>
          <w:sz w:val="24"/>
          <w:szCs w:val="24"/>
          <w:lang w:val="es-ES_tradnl"/>
        </w:rPr>
        <w:t>Racional:</w:t>
      </w:r>
      <w:r w:rsidRPr="00BE20A7">
        <w:rPr>
          <w:sz w:val="24"/>
          <w:szCs w:val="24"/>
          <w:lang w:val="es-ES_tradnl"/>
        </w:rPr>
        <w:t xml:space="preserve"> En el entendimiento de que la generación de valor social de los </w:t>
      </w:r>
      <w:r w:rsidR="00263316">
        <w:rPr>
          <w:sz w:val="24"/>
          <w:szCs w:val="24"/>
          <w:lang w:val="es-ES_tradnl"/>
        </w:rPr>
        <w:t>CEEs</w:t>
      </w:r>
      <w:r w:rsidRPr="00BE20A7">
        <w:rPr>
          <w:sz w:val="24"/>
          <w:szCs w:val="24"/>
          <w:lang w:val="es-ES_tradnl"/>
        </w:rPr>
        <w:t>, está ligada a su capacidad para ofrecer oportunidades laborales a personas con un nivel de estudios bajo.</w:t>
      </w:r>
    </w:p>
    <w:p w:rsidR="000F2C9E" w:rsidRPr="00BE20A7" w:rsidRDefault="000F2C9E" w:rsidP="000F2C9E">
      <w:pPr>
        <w:pStyle w:val="Prrafodelista"/>
        <w:ind w:left="927"/>
        <w:rPr>
          <w:sz w:val="24"/>
          <w:szCs w:val="24"/>
          <w:lang w:val="es-ES_tradnl"/>
        </w:rPr>
      </w:pPr>
    </w:p>
    <w:p w:rsidR="000F2C9E" w:rsidRPr="00BE20A7" w:rsidRDefault="000F2C9E" w:rsidP="000F2C9E">
      <w:pPr>
        <w:rPr>
          <w:i/>
          <w:sz w:val="24"/>
          <w:szCs w:val="24"/>
          <w:lang w:val="es-ES_tradnl"/>
        </w:rPr>
      </w:pPr>
      <w:r w:rsidRPr="00BE20A7">
        <w:rPr>
          <w:i/>
          <w:sz w:val="24"/>
          <w:szCs w:val="24"/>
          <w:lang w:val="es-ES_tradnl"/>
        </w:rPr>
        <w:t>C.12. Dinamización económica en ámbitos rurales</w:t>
      </w:r>
    </w:p>
    <w:p w:rsidR="000F2C9E" w:rsidRPr="00BE20A7" w:rsidRDefault="000F2C9E" w:rsidP="000F2C9E">
      <w:pPr>
        <w:pStyle w:val="Prrafodelista"/>
        <w:numPr>
          <w:ilvl w:val="0"/>
          <w:numId w:val="61"/>
        </w:numPr>
        <w:spacing w:after="200" w:line="276" w:lineRule="auto"/>
        <w:rPr>
          <w:sz w:val="24"/>
          <w:szCs w:val="24"/>
          <w:lang w:val="es-ES_tradnl"/>
        </w:rPr>
      </w:pPr>
      <w:r w:rsidRPr="00BE20A7">
        <w:rPr>
          <w:b/>
          <w:sz w:val="24"/>
          <w:szCs w:val="24"/>
          <w:lang w:val="es-ES_tradnl"/>
        </w:rPr>
        <w:t>Definición:</w:t>
      </w:r>
      <w:r w:rsidRPr="00BE20A7">
        <w:rPr>
          <w:sz w:val="24"/>
          <w:szCs w:val="24"/>
          <w:lang w:val="es-ES_tradnl"/>
        </w:rPr>
        <w:t xml:space="preserve"> Domicilio social en zonas rurales del centro especial de empleo.</w:t>
      </w:r>
    </w:p>
    <w:p w:rsidR="000F2C9E" w:rsidRPr="00BE20A7" w:rsidRDefault="000F2C9E" w:rsidP="000F2C9E">
      <w:pPr>
        <w:pStyle w:val="Prrafodelista"/>
        <w:numPr>
          <w:ilvl w:val="0"/>
          <w:numId w:val="61"/>
        </w:numPr>
        <w:spacing w:after="200" w:line="276" w:lineRule="auto"/>
        <w:rPr>
          <w:sz w:val="24"/>
          <w:szCs w:val="24"/>
          <w:lang w:val="es-ES_tradnl"/>
        </w:rPr>
      </w:pPr>
      <w:r w:rsidRPr="00BE20A7">
        <w:rPr>
          <w:b/>
          <w:sz w:val="24"/>
          <w:szCs w:val="24"/>
          <w:lang w:val="es-ES_tradnl"/>
        </w:rPr>
        <w:t>Racional:</w:t>
      </w:r>
      <w:r w:rsidRPr="00BE20A7">
        <w:rPr>
          <w:sz w:val="24"/>
          <w:szCs w:val="24"/>
          <w:lang w:val="es-ES_tradnl"/>
        </w:rPr>
        <w:t xml:space="preserve"> Existe una gran disparidad en el desarrollo económico de las zonas rurales frente al de las zonas urbanas, en cuanto oportunidades laborales y por tanto en cuanto a renta per cápita de la población. Los </w:t>
      </w:r>
      <w:r w:rsidR="00263316">
        <w:rPr>
          <w:sz w:val="24"/>
          <w:szCs w:val="24"/>
          <w:lang w:val="es-ES_tradnl"/>
        </w:rPr>
        <w:t>CEEs</w:t>
      </w:r>
      <w:r w:rsidRPr="00BE20A7">
        <w:rPr>
          <w:sz w:val="24"/>
          <w:szCs w:val="24"/>
          <w:lang w:val="es-ES_tradnl"/>
        </w:rPr>
        <w:t xml:space="preserve"> cuyo domicilio social esté situado en zonas rurales generarán un impacto social mayor. </w:t>
      </w:r>
    </w:p>
    <w:p w:rsidR="000F2C9E" w:rsidRPr="00BE20A7" w:rsidRDefault="000F2C9E" w:rsidP="000F2C9E">
      <w:pPr>
        <w:pStyle w:val="Prrafodelista"/>
        <w:spacing w:line="360" w:lineRule="auto"/>
        <w:ind w:left="0"/>
        <w:rPr>
          <w:lang w:val="es-ES_tradnl"/>
        </w:rPr>
      </w:pPr>
    </w:p>
    <w:p w:rsidR="000F2C9E" w:rsidRDefault="000F2C9E" w:rsidP="000F2C9E">
      <w:pPr>
        <w:spacing w:line="360" w:lineRule="auto"/>
        <w:jc w:val="both"/>
        <w:rPr>
          <w:sz w:val="20"/>
          <w:lang w:val="es-ES_tradnl"/>
        </w:rPr>
      </w:pPr>
      <w:r>
        <w:rPr>
          <w:sz w:val="20"/>
          <w:lang w:val="es-ES_tradnl"/>
        </w:rPr>
        <w:t xml:space="preserve"> </w:t>
      </w:r>
    </w:p>
    <w:p w:rsidR="000F2C9E" w:rsidRDefault="000F2C9E" w:rsidP="000F2C9E">
      <w:pPr>
        <w:spacing w:line="360" w:lineRule="auto"/>
        <w:jc w:val="both"/>
        <w:rPr>
          <w:sz w:val="20"/>
          <w:lang w:val="es-ES_tradnl"/>
        </w:rPr>
      </w:pPr>
    </w:p>
    <w:p w:rsidR="000F2C9E" w:rsidRDefault="000F2C9E" w:rsidP="000F2C9E">
      <w:pPr>
        <w:spacing w:line="360" w:lineRule="auto"/>
        <w:jc w:val="both"/>
        <w:rPr>
          <w:sz w:val="20"/>
          <w:lang w:val="es-ES_tradnl"/>
        </w:rPr>
      </w:pPr>
    </w:p>
    <w:p w:rsidR="000F2C9E" w:rsidRDefault="000F2C9E" w:rsidP="000F2C9E">
      <w:pPr>
        <w:spacing w:line="360" w:lineRule="auto"/>
        <w:jc w:val="both"/>
        <w:rPr>
          <w:sz w:val="20"/>
          <w:lang w:val="es-ES_tradnl"/>
        </w:rPr>
      </w:pPr>
    </w:p>
    <w:p w:rsidR="000F2C9E" w:rsidRPr="00AA0723" w:rsidRDefault="000F2C9E" w:rsidP="000F2C9E">
      <w:pPr>
        <w:pStyle w:val="Prrafodelista"/>
        <w:spacing w:line="360" w:lineRule="auto"/>
        <w:ind w:left="0"/>
        <w:jc w:val="both"/>
        <w:rPr>
          <w:rFonts w:eastAsia="Calibri"/>
          <w:b/>
          <w:sz w:val="28"/>
          <w:szCs w:val="28"/>
          <w:lang w:val="es-ES_tradnl"/>
        </w:rPr>
      </w:pPr>
      <w:bookmarkStart w:id="332" w:name="_Toc397357150"/>
      <w:r w:rsidRPr="00AA0723">
        <w:rPr>
          <w:rFonts w:eastAsia="Calibri"/>
          <w:b/>
          <w:sz w:val="28"/>
          <w:szCs w:val="28"/>
          <w:lang w:val="es-ES_tradnl"/>
        </w:rPr>
        <w:t>Cálculo del scoring</w:t>
      </w:r>
      <w:bookmarkEnd w:id="332"/>
    </w:p>
    <w:p w:rsidR="000F2C9E" w:rsidRPr="004B21D0" w:rsidRDefault="000F2C9E" w:rsidP="000F2C9E">
      <w:pPr>
        <w:pStyle w:val="Prrafodelista"/>
        <w:spacing w:line="360" w:lineRule="auto"/>
        <w:ind w:left="0"/>
        <w:jc w:val="both"/>
        <w:rPr>
          <w:rFonts w:eastAsia="Calibri"/>
          <w:sz w:val="24"/>
          <w:szCs w:val="28"/>
          <w:lang w:val="es-ES_tradnl"/>
        </w:rPr>
      </w:pPr>
      <w:bookmarkStart w:id="333" w:name="_Toc397357151"/>
      <w:r w:rsidRPr="004B21D0">
        <w:rPr>
          <w:rFonts w:eastAsia="Calibri"/>
          <w:sz w:val="24"/>
          <w:szCs w:val="28"/>
          <w:lang w:val="es-ES_tradnl"/>
        </w:rPr>
        <w:t>La calificación está compuesta por:</w:t>
      </w:r>
      <w:bookmarkEnd w:id="333"/>
    </w:p>
    <w:p w:rsidR="000F2C9E" w:rsidRPr="004B21D0" w:rsidRDefault="000F2C9E" w:rsidP="000F2C9E">
      <w:pPr>
        <w:pStyle w:val="Prrafodelista"/>
        <w:numPr>
          <w:ilvl w:val="0"/>
          <w:numId w:val="76"/>
        </w:numPr>
        <w:spacing w:line="360" w:lineRule="auto"/>
        <w:jc w:val="both"/>
        <w:rPr>
          <w:rFonts w:eastAsia="Calibri"/>
          <w:sz w:val="24"/>
          <w:szCs w:val="28"/>
          <w:lang w:val="es-ES_tradnl"/>
        </w:rPr>
      </w:pPr>
      <w:bookmarkStart w:id="334" w:name="_Toc397357152"/>
      <w:r w:rsidRPr="004B21D0">
        <w:rPr>
          <w:rFonts w:eastAsia="Calibri"/>
          <w:sz w:val="24"/>
          <w:szCs w:val="28"/>
          <w:lang w:val="es-ES_tradnl"/>
        </w:rPr>
        <w:t>Evaluación financiera: Se construye otorgando una puntuación máxima de 5 puntos a cada uno de los elementos contemplados.  El resultado obtenido sobre 35 se normaliza para dar un resultado porcentual.</w:t>
      </w:r>
      <w:bookmarkStart w:id="335" w:name="_Toc397357153"/>
      <w:bookmarkEnd w:id="334"/>
    </w:p>
    <w:p w:rsidR="000F2C9E" w:rsidRPr="004B21D0" w:rsidRDefault="000F2C9E" w:rsidP="000F2C9E">
      <w:pPr>
        <w:pStyle w:val="Prrafodelista"/>
        <w:numPr>
          <w:ilvl w:val="0"/>
          <w:numId w:val="76"/>
        </w:numPr>
        <w:spacing w:line="360" w:lineRule="auto"/>
        <w:jc w:val="both"/>
        <w:rPr>
          <w:rFonts w:eastAsia="Calibri"/>
          <w:sz w:val="24"/>
          <w:szCs w:val="28"/>
          <w:lang w:val="es-ES_tradnl"/>
        </w:rPr>
      </w:pPr>
      <w:r w:rsidRPr="004B21D0">
        <w:rPr>
          <w:rFonts w:eastAsia="Calibri"/>
          <w:sz w:val="24"/>
          <w:szCs w:val="28"/>
          <w:lang w:val="es-ES_tradnl"/>
        </w:rPr>
        <w:t>Evaluación de la posición competitiva. Se construirá otorgando una puntuación máxima de 5 a cada uno de los elementos contemplados. El resultado obtenido sobre 40 se normaliza para dar un resultado porcentual.</w:t>
      </w:r>
      <w:bookmarkStart w:id="336" w:name="_Toc397357154"/>
      <w:bookmarkEnd w:id="335"/>
    </w:p>
    <w:p w:rsidR="000F2C9E" w:rsidRPr="004B21D0" w:rsidRDefault="000F2C9E" w:rsidP="000F2C9E">
      <w:pPr>
        <w:pStyle w:val="Prrafodelista"/>
        <w:numPr>
          <w:ilvl w:val="0"/>
          <w:numId w:val="76"/>
        </w:numPr>
        <w:spacing w:line="360" w:lineRule="auto"/>
        <w:jc w:val="both"/>
        <w:rPr>
          <w:rFonts w:eastAsia="Calibri"/>
          <w:sz w:val="24"/>
          <w:szCs w:val="28"/>
          <w:lang w:val="es-ES_tradnl"/>
        </w:rPr>
      </w:pPr>
      <w:r w:rsidRPr="004B21D0">
        <w:rPr>
          <w:rFonts w:eastAsia="Calibri"/>
          <w:sz w:val="24"/>
          <w:szCs w:val="28"/>
          <w:lang w:val="es-ES_tradnl"/>
        </w:rPr>
        <w:t>Evaluación de impacto social: Se construirá otorgando una puntuación máxima de 5 a cada uno de los elementos contemplados. El resultado obtenido sobre 60 se normaliza para dar un resultado porcentual</w:t>
      </w:r>
      <w:r w:rsidRPr="004B21D0">
        <w:rPr>
          <w:sz w:val="24"/>
          <w:szCs w:val="28"/>
          <w:lang w:val="es-ES_tradnl"/>
        </w:rPr>
        <w:t>.</w:t>
      </w:r>
      <w:bookmarkEnd w:id="336"/>
    </w:p>
    <w:p w:rsidR="000F2C9E" w:rsidRPr="004B21D0" w:rsidRDefault="000F2C9E" w:rsidP="000F2C9E">
      <w:pPr>
        <w:pStyle w:val="Prrafodelista"/>
        <w:spacing w:line="360" w:lineRule="auto"/>
        <w:ind w:left="0"/>
        <w:jc w:val="both"/>
        <w:rPr>
          <w:sz w:val="24"/>
          <w:szCs w:val="28"/>
          <w:lang w:val="es-ES_tradnl"/>
        </w:rPr>
      </w:pPr>
      <w:bookmarkStart w:id="337" w:name="_Toc397357155"/>
      <w:r w:rsidRPr="004B21D0">
        <w:rPr>
          <w:sz w:val="24"/>
          <w:szCs w:val="28"/>
          <w:lang w:val="es-ES_tradnl"/>
        </w:rPr>
        <w:t>Cada dimensión se ha ponderado de manera distinta en el cómputo de la puntuación global, siendo la ponderación del ámbito financiero un 40% de la puntuación total, la ponderación de la posición competitiva un 15% de la puntuación total y la ponderación del impacto social un 45% de la puntuación total.</w:t>
      </w:r>
      <w:bookmarkEnd w:id="337"/>
      <w:r w:rsidRPr="004B21D0">
        <w:rPr>
          <w:sz w:val="24"/>
          <w:szCs w:val="28"/>
          <w:lang w:val="es-ES_tradnl"/>
        </w:rPr>
        <w:t xml:space="preserve"> </w:t>
      </w:r>
    </w:p>
    <w:p w:rsidR="000F2C9E" w:rsidRPr="004B21D0" w:rsidRDefault="000F2C9E" w:rsidP="000F2C9E">
      <w:pPr>
        <w:pStyle w:val="Prrafodelista"/>
        <w:spacing w:line="360" w:lineRule="auto"/>
        <w:ind w:left="0"/>
        <w:jc w:val="both"/>
        <w:rPr>
          <w:sz w:val="24"/>
          <w:szCs w:val="28"/>
          <w:lang w:val="es-ES_tradnl"/>
        </w:rPr>
      </w:pPr>
    </w:p>
    <w:p w:rsidR="000F2C9E" w:rsidRPr="004B21D0" w:rsidRDefault="007751C0" w:rsidP="000F2C9E">
      <w:pPr>
        <w:pStyle w:val="Prrafodelista"/>
        <w:spacing w:line="360" w:lineRule="auto"/>
        <w:ind w:left="0"/>
        <w:jc w:val="both"/>
        <w:rPr>
          <w:i/>
          <w:sz w:val="24"/>
          <w:szCs w:val="28"/>
          <w:lang w:val="es-ES_tradnl"/>
        </w:rPr>
      </w:pPr>
      <w:bookmarkStart w:id="338" w:name="_Toc397357156"/>
      <w:r w:rsidRPr="004B21D0">
        <w:rPr>
          <w:i/>
          <w:sz w:val="24"/>
          <w:szCs w:val="28"/>
          <w:lang w:val="es-ES_tradnl"/>
        </w:rPr>
        <w:t xml:space="preserve">Nota </w:t>
      </w:r>
      <w:r w:rsidR="000F2C9E" w:rsidRPr="004B21D0">
        <w:rPr>
          <w:i/>
          <w:sz w:val="24"/>
          <w:szCs w:val="28"/>
          <w:lang w:val="es-ES_tradnl"/>
        </w:rPr>
        <w:t xml:space="preserve">sobre la menor ponderación de la puntuación competitiva: La puntuación de cada centro en este ámbito depende, en gran medida, del sector de actividad al que se dedica y no tanto de la gestión e impacto del centro en sí mismo. Por lo tanto, al otorgar un menor peso a este resultado que a los resultados de robustez financiera  e impacto social, se ofrece una visión más justa y una comparativa más ajustada a la realidad de los </w:t>
      </w:r>
      <w:r w:rsidR="00263316" w:rsidRPr="004B21D0">
        <w:rPr>
          <w:i/>
          <w:sz w:val="24"/>
          <w:szCs w:val="28"/>
          <w:lang w:val="es-ES_tradnl"/>
        </w:rPr>
        <w:t>CEEs</w:t>
      </w:r>
      <w:r w:rsidR="000F2C9E" w:rsidRPr="004B21D0">
        <w:rPr>
          <w:i/>
          <w:sz w:val="24"/>
          <w:szCs w:val="28"/>
          <w:lang w:val="es-ES_tradnl"/>
        </w:rPr>
        <w:t>.</w:t>
      </w:r>
      <w:bookmarkEnd w:id="338"/>
      <w:r w:rsidR="000F2C9E" w:rsidRPr="004B21D0">
        <w:rPr>
          <w:i/>
          <w:sz w:val="24"/>
          <w:szCs w:val="28"/>
          <w:lang w:val="es-ES_tradnl"/>
        </w:rPr>
        <w:t xml:space="preserve">  </w:t>
      </w:r>
    </w:p>
    <w:p w:rsidR="000F2C9E" w:rsidRPr="005B2F3D" w:rsidRDefault="000F2C9E" w:rsidP="005B2F3D">
      <w:pPr>
        <w:pStyle w:val="Textoindependiente"/>
        <w:rPr>
          <w:lang w:val="es-ES_tradnl"/>
        </w:rPr>
      </w:pPr>
    </w:p>
    <w:sectPr w:rsidR="000F2C9E" w:rsidRPr="005B2F3D" w:rsidSect="001C49E5">
      <w:headerReference w:type="even" r:id="rId112"/>
      <w:footerReference w:type="default" r:id="rId113"/>
      <w:headerReference w:type="first" r:id="rId114"/>
      <w:pgSz w:w="11907" w:h="16840" w:code="9"/>
      <w:pgMar w:top="2835" w:right="1474" w:bottom="1588" w:left="1474" w:header="1077" w:footer="709" w:gutter="454"/>
      <w:pgNumType w:start="1"/>
      <w:cols w:space="7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DD0" w:rsidRDefault="003C4DD0">
      <w:r>
        <w:separator/>
      </w:r>
    </w:p>
  </w:endnote>
  <w:endnote w:type="continuationSeparator" w:id="0">
    <w:p w:rsidR="003C4DD0" w:rsidRDefault="003C4D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9999999">
    <w:altName w:val="Times New Roman"/>
    <w:charset w:val="00"/>
    <w:family w:val="auto"/>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80000023" w:usb1="00000000" w:usb2="00000000" w:usb3="00000000" w:csb0="00000001" w:csb1="00000000"/>
  </w:font>
  <w:font w:name="KPMG Logo">
    <w:charset w:val="00"/>
    <w:family w:val="auto"/>
    <w:pitch w:val="variable"/>
    <w:sig w:usb0="00000003" w:usb1="00000000" w:usb2="00000000" w:usb3="00000000" w:csb0="00000001" w:csb1="00000000"/>
  </w:font>
  <w:font w:name="Univers 55">
    <w:altName w:val="Times New Roman"/>
    <w:charset w:val="00"/>
    <w:family w:val="auto"/>
    <w:pitch w:val="variable"/>
    <w:sig w:usb0="80000023" w:usb1="00000000" w:usb2="00000000" w:usb3="00000000" w:csb0="0000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Pr="008D1040" w:rsidRDefault="00AC67C0">
    <w:pPr>
      <w:pStyle w:val="Piedepgina"/>
      <w:framePr w:hSpace="181" w:wrap="around" w:vAnchor="text" w:hAnchor="text" w:xAlign="right" w:y="1"/>
      <w:rPr>
        <w:lang w:val="en-US"/>
      </w:rPr>
    </w:pPr>
    <w:r>
      <w:fldChar w:fldCharType="begin"/>
    </w:r>
    <w:r w:rsidR="003C4DD0" w:rsidRPr="008D1040">
      <w:rPr>
        <w:lang w:val="en-US"/>
      </w:rPr>
      <w:instrText xml:space="preserve"> FILENAME </w:instrText>
    </w:r>
    <w:r>
      <w:fldChar w:fldCharType="separate"/>
    </w:r>
    <w:r w:rsidR="003C4DD0">
      <w:rPr>
        <w:noProof/>
        <w:lang w:val="en-US"/>
      </w:rPr>
      <w:t>CEECyL_DS_01IN_18.12.2014_logos.docx</w:t>
    </w:r>
    <w:r>
      <w:rPr>
        <w:noProof/>
      </w:rPr>
      <w:fldChar w:fldCharType="end"/>
    </w:r>
    <w:r w:rsidR="003C4DD0" w:rsidRPr="008D1040">
      <w:rPr>
        <w:lang w:val="en-US"/>
      </w:rPr>
      <w:t xml:space="preserve"> - </w:t>
    </w:r>
    <w:r>
      <w:fldChar w:fldCharType="begin"/>
    </w:r>
    <w:r w:rsidR="003C4DD0">
      <w:instrText xml:space="preserve"> SAVEDATE  \@ </w:instrText>
    </w:r>
    <w:r>
      <w:fldChar w:fldCharType="begin"/>
    </w:r>
    <w:r w:rsidR="003C4DD0">
      <w:instrText xml:space="preserve"> DOCPROPERTY "KISDateFmt" </w:instrText>
    </w:r>
    <w:r>
      <w:fldChar w:fldCharType="separate"/>
    </w:r>
    <w:r w:rsidR="003C4DD0">
      <w:instrText>dd/MM/yyyy</w:instrText>
    </w:r>
    <w:r>
      <w:fldChar w:fldCharType="end"/>
    </w:r>
    <w:r w:rsidR="003C4DD0">
      <w:instrText xml:space="preserve"> </w:instrText>
    </w:r>
    <w:r>
      <w:fldChar w:fldCharType="separate"/>
    </w:r>
    <w:r w:rsidR="00384394">
      <w:rPr>
        <w:noProof/>
      </w:rPr>
      <w:t>05/02/2015</w:t>
    </w:r>
    <w:r>
      <w:fldChar w:fldCharType="end"/>
    </w:r>
  </w:p>
  <w:p w:rsidR="003C4DD0" w:rsidRDefault="00AC67C0">
    <w:pPr>
      <w:pStyle w:val="Piedepgina"/>
    </w:pPr>
    <w:r w:rsidRPr="00AC67C0">
      <w:rPr>
        <w:noProof/>
        <w:sz w:val="20"/>
        <w:lang w:eastAsia="es-ES"/>
      </w:rPr>
      <w:pict>
        <v:shapetype id="_x0000_t202" coordsize="21600,21600" o:spt="202" path="m,l,21600r21600,l21600,xe">
          <v:stroke joinstyle="miter"/>
          <v:path gradientshapeok="t" o:connecttype="rect"/>
        </v:shapetype>
        <v:shape id="_x0000_s30721" type="#_x0000_t202" style="position:absolute;margin-left:0;margin-top:0;width:190.85pt;height:31.8pt;z-index:25165670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ctwIAALo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" filled="f" stroked="f">
          <v:textbox>
            <w:txbxContent>
              <w:p w:rsidR="003C4DD0" w:rsidRPr="00374404" w:rsidRDefault="003C4DD0">
                <w:pPr>
                  <w:jc w:val="center"/>
                  <w:rPr>
                    <w:rFonts w:ascii="Univers 55" w:hAnsi="Univers 55"/>
                    <w:sz w:val="12"/>
                    <w:lang w:val="en-US"/>
                  </w:rPr>
                </w:pPr>
                <w:r w:rsidRPr="00374404">
                  <w:rPr>
                    <w:rFonts w:ascii="Univers 55" w:hAnsi="Univers 55" w:cs="Arial"/>
                    <w:sz w:val="12"/>
                    <w:lang w:val="en-US"/>
                  </w:rPr>
                  <w:t xml:space="preserve">© </w:t>
                </w:r>
                <w:r w:rsidR="00AC67C0">
                  <w:rPr>
                    <w:rFonts w:ascii="Univers 55" w:hAnsi="Univers 55" w:cs="Arial"/>
                    <w:sz w:val="12"/>
                  </w:rPr>
                  <w:fldChar w:fldCharType="begin"/>
                </w:r>
                <w:r>
                  <w:rPr>
                    <w:rFonts w:ascii="Univers 55" w:hAnsi="Univers 55" w:cs="Arial"/>
                    <w:sz w:val="12"/>
                  </w:rPr>
                  <w:instrText xml:space="preserve"> SAVEDATE \@ "yyyy" </w:instrText>
                </w:r>
                <w:r w:rsidR="00AC67C0">
                  <w:rPr>
                    <w:rFonts w:ascii="Univers 55" w:hAnsi="Univers 55" w:cs="Arial"/>
                    <w:sz w:val="12"/>
                  </w:rPr>
                  <w:fldChar w:fldCharType="separate"/>
                </w:r>
                <w:r w:rsidR="00384394">
                  <w:rPr>
                    <w:rFonts w:ascii="Univers 55" w:hAnsi="Univers 55" w:cs="Arial"/>
                    <w:noProof/>
                    <w:sz w:val="12"/>
                  </w:rPr>
                  <w:t>2015</w:t>
                </w:r>
                <w:r w:rsidR="00AC67C0">
                  <w:rPr>
                    <w:rFonts w:ascii="Univers 55" w:hAnsi="Univers 55" w:cs="Arial"/>
                    <w:sz w:val="12"/>
                  </w:rPr>
                  <w:fldChar w:fldCharType="end"/>
                </w:r>
                <w:r w:rsidRPr="00374404">
                  <w:rPr>
                    <w:rFonts w:ascii="Univers 55" w:hAnsi="Univers 55" w:cs="Arial"/>
                    <w:sz w:val="12"/>
                    <w:lang w:val="en-US"/>
                  </w:rPr>
                  <w:t xml:space="preserve"> </w:t>
                </w:r>
                <w:r w:rsidR="00AC67C0">
                  <w:rPr>
                    <w:rFonts w:ascii="Univers 55" w:hAnsi="Univers 55" w:cs="Arial"/>
                    <w:sz w:val="12"/>
                  </w:rPr>
                  <w:fldChar w:fldCharType="begin"/>
                </w:r>
                <w:r w:rsidRPr="00374404">
                  <w:rPr>
                    <w:rFonts w:ascii="Univers 55" w:hAnsi="Univers 55" w:cs="Arial"/>
                    <w:sz w:val="12"/>
                    <w:lang w:val="en-US"/>
                  </w:rPr>
                  <w:instrText xml:space="preserve"> if </w:instrText>
                </w:r>
                <w:r w:rsidR="00AC67C0">
                  <w:rPr>
                    <w:rFonts w:ascii="Univers 55" w:hAnsi="Univers 55" w:cs="Arial"/>
                    <w:sz w:val="12"/>
                  </w:rPr>
                  <w:fldChar w:fldCharType="begin"/>
                </w:r>
                <w:r w:rsidRPr="00374404">
                  <w:rPr>
                    <w:rFonts w:ascii="Univers 55" w:hAnsi="Univers 55" w:cs="Arial"/>
                    <w:sz w:val="12"/>
                    <w:lang w:val="en-US"/>
                  </w:rPr>
                  <w:instrText xml:space="preserve"> DOCPROPERTY "KISFirmPrtName" </w:instrText>
                </w:r>
                <w:r w:rsidR="00AC67C0">
                  <w:rPr>
                    <w:rFonts w:ascii="Univers 55" w:hAnsi="Univers 55" w:cs="Arial"/>
                    <w:sz w:val="12"/>
                  </w:rPr>
                  <w:fldChar w:fldCharType="separate"/>
                </w:r>
                <w:r>
                  <w:rPr>
                    <w:rFonts w:ascii="Univers 55" w:hAnsi="Univers 55" w:cs="Arial"/>
                    <w:sz w:val="12"/>
                    <w:lang w:val="en-US"/>
                  </w:rPr>
                  <w:instrText>Firm name</w:instrText>
                </w:r>
                <w:r w:rsidR="00AC67C0">
                  <w:rPr>
                    <w:rFonts w:ascii="Univers 55" w:hAnsi="Univers 55" w:cs="Arial"/>
                    <w:sz w:val="12"/>
                  </w:rPr>
                  <w:fldChar w:fldCharType="end"/>
                </w:r>
                <w:r w:rsidRPr="00374404">
                  <w:rPr>
                    <w:rFonts w:ascii="Univers 55" w:hAnsi="Univers 55" w:cs="Arial"/>
                    <w:sz w:val="12"/>
                    <w:lang w:val="en-US"/>
                  </w:rPr>
                  <w:instrText xml:space="preserve"> &lt;&gt; "" "</w:instrText>
                </w:r>
                <w:r w:rsidR="00AC67C0">
                  <w:rPr>
                    <w:rFonts w:ascii="Univers 55" w:hAnsi="Univers 55" w:cs="Arial"/>
                    <w:sz w:val="12"/>
                  </w:rPr>
                  <w:fldChar w:fldCharType="begin"/>
                </w:r>
                <w:r w:rsidRPr="00374404">
                  <w:rPr>
                    <w:rFonts w:ascii="Univers 55" w:hAnsi="Univers 55" w:cs="Arial"/>
                    <w:sz w:val="12"/>
                    <w:lang w:val="en-US"/>
                  </w:rPr>
                  <w:instrText xml:space="preserve"> DOCPROPERTY "KISFirmPrtName" </w:instrText>
                </w:r>
                <w:r w:rsidR="00AC67C0">
                  <w:rPr>
                    <w:rFonts w:ascii="Univers 55" w:hAnsi="Univers 55" w:cs="Arial"/>
                    <w:sz w:val="12"/>
                  </w:rPr>
                  <w:fldChar w:fldCharType="separate"/>
                </w:r>
                <w:r>
                  <w:rPr>
                    <w:rFonts w:ascii="Univers 55" w:hAnsi="Univers 55" w:cs="Arial"/>
                    <w:sz w:val="12"/>
                    <w:lang w:val="en-US"/>
                  </w:rPr>
                  <w:instrText>Firm name</w:instrText>
                </w:r>
                <w:r w:rsidR="00AC67C0">
                  <w:rPr>
                    <w:rFonts w:ascii="Univers 55" w:hAnsi="Univers 55" w:cs="Arial"/>
                    <w:sz w:val="12"/>
                  </w:rPr>
                  <w:fldChar w:fldCharType="end"/>
                </w:r>
                <w:r w:rsidRPr="00374404">
                  <w:rPr>
                    <w:rFonts w:ascii="Univers 55" w:hAnsi="Univers 55" w:cs="Arial"/>
                    <w:sz w:val="12"/>
                    <w:lang w:val="en-US"/>
                  </w:rPr>
                  <w:instrText xml:space="preserve">" "KPMG </w:instrText>
                </w:r>
                <w:r w:rsidR="00AC67C0">
                  <w:rPr>
                    <w:rFonts w:ascii="Univers 55" w:hAnsi="Univers 55" w:cs="Arial"/>
                    <w:sz w:val="12"/>
                  </w:rPr>
                  <w:fldChar w:fldCharType="begin"/>
                </w:r>
                <w:r w:rsidRPr="00374404">
                  <w:rPr>
                    <w:rFonts w:ascii="Univers 55" w:hAnsi="Univers 55" w:cs="Arial"/>
                    <w:sz w:val="12"/>
                    <w:lang w:val="en-US"/>
                  </w:rPr>
                  <w:instrText xml:space="preserve"> DOCPROPERTY "KISSvcPrtName" </w:instrText>
                </w:r>
                <w:r w:rsidR="00AC67C0">
                  <w:rPr>
                    <w:rFonts w:ascii="Univers 55" w:hAnsi="Univers 55" w:cs="Arial"/>
                    <w:sz w:val="12"/>
                  </w:rPr>
                  <w:fldChar w:fldCharType="separate"/>
                </w:r>
                <w:r w:rsidRPr="00374404">
                  <w:rPr>
                    <w:rFonts w:ascii="Univers 55" w:hAnsi="Univers 55" w:cs="Arial"/>
                    <w:sz w:val="12"/>
                    <w:lang w:val="en-US"/>
                  </w:rPr>
                  <w:instrText>Core service or market</w:instrText>
                </w:r>
                <w:r w:rsidR="00AC67C0">
                  <w:rPr>
                    <w:rFonts w:ascii="Univers 55" w:hAnsi="Univers 55" w:cs="Arial"/>
                    <w:sz w:val="12"/>
                  </w:rPr>
                  <w:fldChar w:fldCharType="end"/>
                </w:r>
                <w:r w:rsidRPr="00374404">
                  <w:rPr>
                    <w:rFonts w:ascii="Univers 55" w:hAnsi="Univers 55" w:cs="Arial"/>
                    <w:sz w:val="12"/>
                    <w:lang w:val="en-US"/>
                  </w:rPr>
                  <w:instrText xml:space="preserve">" </w:instrText>
                </w:r>
                <w:r w:rsidR="00AC67C0">
                  <w:rPr>
                    <w:rFonts w:ascii="Univers 55" w:hAnsi="Univers 55" w:cs="Arial"/>
                    <w:sz w:val="12"/>
                  </w:rPr>
                  <w:fldChar w:fldCharType="separate"/>
                </w:r>
                <w:r w:rsidR="00384394">
                  <w:rPr>
                    <w:rFonts w:ascii="Univers 55" w:hAnsi="Univers 55" w:cs="Arial"/>
                    <w:noProof/>
                    <w:sz w:val="12"/>
                    <w:lang w:val="en-US"/>
                  </w:rPr>
                  <w:t>Firm name</w:t>
                </w:r>
                <w:r w:rsidR="00AC67C0">
                  <w:rPr>
                    <w:rFonts w:ascii="Univers 55" w:hAnsi="Univers 55" w:cs="Arial"/>
                    <w:sz w:val="12"/>
                  </w:rPr>
                  <w:fldChar w:fldCharType="end"/>
                </w:r>
                <w:r w:rsidRPr="00374404">
                  <w:rPr>
                    <w:rFonts w:ascii="Univers 55" w:hAnsi="Univers 55" w:cs="Arial"/>
                    <w:sz w:val="12"/>
                    <w:lang w:val="en-US"/>
                  </w:rPr>
                  <w:t>. All rights reserved.</w:t>
                </w:r>
              </w:p>
            </w:txbxContent>
          </v:textbox>
          <w10:wrap anchory="page"/>
        </v:shape>
      </w:pict>
    </w:r>
    <w:r>
      <w:rPr>
        <w:rStyle w:val="Nmerodepgina"/>
      </w:rPr>
      <w:fldChar w:fldCharType="begin"/>
    </w:r>
    <w:r w:rsidR="003C4DD0">
      <w:rPr>
        <w:rStyle w:val="Nmerodepgina"/>
      </w:rPr>
      <w:instrText xml:space="preserve"> PAGE </w:instrText>
    </w:r>
    <w:r>
      <w:rPr>
        <w:rStyle w:val="Nmerodepgina"/>
      </w:rPr>
      <w:fldChar w:fldCharType="separate"/>
    </w:r>
    <w:r w:rsidR="003C4DD0">
      <w:rPr>
        <w:rStyle w:val="Nmerodepgina"/>
        <w:noProof/>
      </w:rPr>
      <w:t>i</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BE" w:rsidRDefault="00AB6BB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BE" w:rsidRDefault="00AB6BB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AC67C0">
    <w:pPr>
      <w:pStyle w:val="Piedepgina"/>
      <w:framePr w:hSpace="181" w:wrap="around" w:vAnchor="text" w:hAnchor="text" w:xAlign="right" w:y="1"/>
    </w:pPr>
    <w:r>
      <w:rPr>
        <w:rStyle w:val="Nmerodepgina"/>
      </w:rPr>
      <w:fldChar w:fldCharType="begin"/>
    </w:r>
    <w:r w:rsidR="003C4DD0">
      <w:rPr>
        <w:rStyle w:val="Nmerodepgina"/>
      </w:rPr>
      <w:instrText xml:space="preserve"> PAGE </w:instrText>
    </w:r>
    <w:r>
      <w:rPr>
        <w:rStyle w:val="Nmerodepgina"/>
      </w:rPr>
      <w:fldChar w:fldCharType="separate"/>
    </w:r>
    <w:r w:rsidR="00384394">
      <w:rPr>
        <w:rStyle w:val="Nmerodepgina"/>
        <w:noProof/>
      </w:rPr>
      <w:t>iii</w:t>
    </w:r>
    <w:r>
      <w:rPr>
        <w:rStyle w:val="Nmerodepgina"/>
      </w:rPr>
      <w:fldChar w:fldCharType="end"/>
    </w:r>
  </w:p>
  <w:p w:rsidR="003C4DD0" w:rsidRDefault="003C4DD0" w:rsidP="00AB6BBE">
    <w:pPr>
      <w:pStyle w:val="Piedepgina"/>
    </w:pPr>
    <w:bookmarkStart w:id="3" w:name="_GoBack"/>
    <w:bookmarkEnd w:id="3"/>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pPr>
      <w:pStyle w:val="Piedepgina"/>
      <w:framePr w:hSpace="181" w:wrap="around" w:vAnchor="text" w:hAnchor="text" w:xAlign="right" w:y="1"/>
    </w:pPr>
    <w:r>
      <w:rPr>
        <w:rStyle w:val="Nmerodepgina"/>
      </w:rPr>
      <w:pgNum/>
    </w:r>
  </w:p>
  <w:p w:rsidR="003C4DD0" w:rsidRDefault="003C4DD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DD0" w:rsidRDefault="003C4DD0">
      <w:r>
        <w:separator/>
      </w:r>
    </w:p>
  </w:footnote>
  <w:footnote w:type="continuationSeparator" w:id="0">
    <w:p w:rsidR="003C4DD0" w:rsidRDefault="003C4DD0">
      <w:r>
        <w:continuationSeparator/>
      </w:r>
    </w:p>
  </w:footnote>
  <w:footnote w:id="1">
    <w:p w:rsidR="003C4DD0" w:rsidRPr="00842404" w:rsidRDefault="003C4DD0" w:rsidP="00910E8D">
      <w:pPr>
        <w:pStyle w:val="Textonotapie"/>
        <w:rPr>
          <w:lang w:val="en-US"/>
        </w:rPr>
      </w:pPr>
      <w:r>
        <w:rPr>
          <w:rStyle w:val="Refdenotaalpie"/>
        </w:rPr>
        <w:footnoteRef/>
      </w:r>
      <w:r w:rsidRPr="00842404">
        <w:rPr>
          <w:lang w:val="en-US"/>
        </w:rPr>
        <w:t xml:space="preserve"> European Foundation Center, “Assessing the impact of European governments’ austerity plans on the rights of people with disabilities</w:t>
      </w:r>
      <w:r>
        <w:rPr>
          <w:lang w:val="en-US"/>
        </w:rPr>
        <w:t>,” Octubre 2012</w:t>
      </w:r>
    </w:p>
  </w:footnote>
  <w:footnote w:id="2">
    <w:p w:rsidR="003C4DD0" w:rsidRPr="00842404" w:rsidRDefault="003C4DD0">
      <w:pPr>
        <w:pStyle w:val="Textonotapie"/>
        <w:rPr>
          <w:lang w:val="es-ES_tradnl"/>
        </w:rPr>
      </w:pPr>
      <w:r>
        <w:rPr>
          <w:rStyle w:val="Refdenotaalpie"/>
        </w:rPr>
        <w:footnoteRef/>
      </w:r>
      <w:r>
        <w:t xml:space="preserve"> </w:t>
      </w:r>
      <w:r>
        <w:rPr>
          <w:lang w:val="es-ES_tradnl"/>
        </w:rPr>
        <w:t xml:space="preserve">Según el estudio cuantitativo llevado a cabo sobre los CEEs de Castilla y León, el salario medio de las personas empleadas en centros especiales de empleo de Castilla y León es 1,41 veces superior al salario medio de 12.000 € de las personas con discapacidad en España según la Muestra Continua de Vida Laboral (a fecha de 2012), lo que da lugar a un salario medio de 16.920 € por empleado de los CEEs de Castilla y León. </w:t>
      </w:r>
    </w:p>
  </w:footnote>
  <w:footnote w:id="3">
    <w:p w:rsidR="003C4DD0" w:rsidRPr="00A010D2" w:rsidRDefault="003C4DD0" w:rsidP="00344991">
      <w:pPr>
        <w:pStyle w:val="Textonotapie"/>
      </w:pPr>
      <w:r>
        <w:rPr>
          <w:rStyle w:val="Refdenotaalpie"/>
        </w:rPr>
        <w:footnoteRef/>
      </w:r>
      <w:r>
        <w:t xml:space="preserve"> Juna de Castilla y León,</w:t>
      </w:r>
      <w:r w:rsidRPr="00A010D2">
        <w:t xml:space="preserve"> </w:t>
      </w:r>
      <w:r>
        <w:t>Información Estadística de Castilla y León, El Empleo de las Personas con Discapacidad, Año 2012, 10 Diciembre de 2013</w:t>
      </w:r>
    </w:p>
  </w:footnote>
  <w:footnote w:id="4">
    <w:p w:rsidR="003C4DD0" w:rsidRPr="00322418" w:rsidRDefault="003C4DD0" w:rsidP="00344991">
      <w:pPr>
        <w:pStyle w:val="Textonotapie"/>
      </w:pPr>
      <w:r>
        <w:rPr>
          <w:rStyle w:val="Refdenotaalpie"/>
        </w:rPr>
        <w:footnoteRef/>
      </w:r>
      <w:r>
        <w:t xml:space="preserve"> Instituto Nacional de Estadística, El Empleo de las Personas con Discapacidad Año 2012, 9 de Diciembre de 2013,</w:t>
      </w:r>
    </w:p>
  </w:footnote>
  <w:footnote w:id="5">
    <w:p w:rsidR="003C4DD0" w:rsidRPr="00FE6678" w:rsidRDefault="003C4DD0" w:rsidP="00BE2AF9">
      <w:pPr>
        <w:pStyle w:val="Textonotapie"/>
        <w:rPr>
          <w:lang w:val="es-ES_tradnl"/>
        </w:rPr>
      </w:pPr>
      <w:r>
        <w:rPr>
          <w:rStyle w:val="Refdenotaalpie"/>
        </w:rPr>
        <w:footnoteRef/>
      </w:r>
      <w:r w:rsidRPr="00CE2D06">
        <w:rPr>
          <w:lang w:val="es-ES_tradnl"/>
        </w:rPr>
        <w:t xml:space="preserve"> </w:t>
      </w:r>
      <w:r w:rsidRPr="00FE6678">
        <w:rPr>
          <w:lang w:val="es-ES_tradnl"/>
        </w:rPr>
        <w:t>En el Anexo I</w:t>
      </w:r>
      <w:r w:rsidR="007A3746">
        <w:rPr>
          <w:lang w:val="es-ES_tradnl"/>
        </w:rPr>
        <w:t>I</w:t>
      </w:r>
      <w:r w:rsidRPr="00FE6678">
        <w:rPr>
          <w:lang w:val="es-ES_tradnl"/>
        </w:rPr>
        <w:t xml:space="preserve"> se encuentra una explicación detallada de los aspectos que se han considerado para cada una de las dimensiones y los indicadore</w:t>
      </w:r>
      <w:r w:rsidR="007A3746">
        <w:rPr>
          <w:lang w:val="es-ES_tradnl"/>
        </w:rPr>
        <w:t>s utilizados.</w:t>
      </w:r>
    </w:p>
  </w:footnote>
  <w:footnote w:id="6">
    <w:p w:rsidR="003C4DD0" w:rsidRPr="00545DDB" w:rsidRDefault="003C4DD0" w:rsidP="007B3767">
      <w:pPr>
        <w:pStyle w:val="Textonotapie"/>
      </w:pPr>
      <w:r>
        <w:rPr>
          <w:rStyle w:val="Refdenotaalpie"/>
        </w:rPr>
        <w:footnoteRef/>
      </w:r>
      <w:r w:rsidRPr="00545DDB">
        <w:t xml:space="preserve"> </w:t>
      </w:r>
      <w:r>
        <w:t>INFORMA, Sistema de Evaluación de Empresas de Informa D&amp;B, Noviembre 2013</w:t>
      </w:r>
    </w:p>
  </w:footnote>
  <w:footnote w:id="7">
    <w:p w:rsidR="003C4DD0" w:rsidRPr="002D0AF9" w:rsidRDefault="003C4DD0" w:rsidP="000701FC">
      <w:pPr>
        <w:pStyle w:val="Textonotapie"/>
        <w:rPr>
          <w:lang w:val="es-ES_tradnl"/>
        </w:rPr>
      </w:pPr>
      <w:r>
        <w:rPr>
          <w:rStyle w:val="Refdenotaalpie"/>
        </w:rPr>
        <w:footnoteRef/>
      </w:r>
      <w:r w:rsidRPr="002D0AF9">
        <w:t xml:space="preserve"> </w:t>
      </w:r>
      <w:r w:rsidRPr="002D0AF9">
        <w:rPr>
          <w:lang w:val="es-ES_tradnl"/>
        </w:rPr>
        <w:t>Encuesta de Población Activa, Instituto Nacional de Estadística: Cuarto trimes</w:t>
      </w:r>
      <w:r>
        <w:rPr>
          <w:lang w:val="es-ES_tradnl"/>
        </w:rPr>
        <w:t>tre 2012, Tercer trimestre 2013</w:t>
      </w:r>
    </w:p>
  </w:footnote>
  <w:footnote w:id="8">
    <w:p w:rsidR="003C4DD0" w:rsidRPr="00635662" w:rsidRDefault="003C4DD0" w:rsidP="00A90E0B">
      <w:pPr>
        <w:pStyle w:val="Textonotapie"/>
        <w:rPr>
          <w:lang w:val="es-ES_tradnl"/>
        </w:rPr>
      </w:pPr>
      <w:r>
        <w:rPr>
          <w:rStyle w:val="Refdenotaalpie"/>
        </w:rPr>
        <w:footnoteRef/>
      </w:r>
      <w:r>
        <w:t xml:space="preserve"> Muestra Continua de Vida Laboral</w:t>
      </w:r>
    </w:p>
  </w:footnote>
  <w:footnote w:id="9">
    <w:p w:rsidR="003C4DD0" w:rsidRPr="00CC1E35" w:rsidRDefault="003C4DD0" w:rsidP="00A90E0B">
      <w:pPr>
        <w:pStyle w:val="Textonotapie"/>
        <w:rPr>
          <w:lang w:val="es-ES_tradnl"/>
        </w:rPr>
      </w:pPr>
      <w:r>
        <w:rPr>
          <w:rStyle w:val="Refdenotaalpie"/>
        </w:rPr>
        <w:footnoteRef/>
      </w:r>
      <w:r w:rsidRPr="00CC1E35">
        <w:t xml:space="preserve"> </w:t>
      </w:r>
      <w:r>
        <w:rPr>
          <w:lang w:val="es-ES_tradnl"/>
        </w:rPr>
        <w:t>Instituto Nacional de Estadística. Nota de prensa: El salario medio de las personas con discapacidad, 5 junio 2014</w:t>
      </w:r>
    </w:p>
  </w:footnote>
  <w:footnote w:id="10">
    <w:p w:rsidR="003C4DD0" w:rsidRPr="00B1636E" w:rsidRDefault="003C4DD0" w:rsidP="00EC0B4D">
      <w:pPr>
        <w:pStyle w:val="Textonotapie"/>
        <w:rPr>
          <w:lang w:val="es-ES_tradnl"/>
        </w:rPr>
      </w:pPr>
      <w:r>
        <w:rPr>
          <w:rStyle w:val="Refdenotaalpie"/>
        </w:rPr>
        <w:footnoteRef/>
      </w:r>
      <w:r w:rsidRPr="00B1636E">
        <w:t xml:space="preserve"> </w:t>
      </w:r>
      <w:r>
        <w:rPr>
          <w:lang w:val="es-ES_tradnl"/>
        </w:rPr>
        <w:t>Encuesta de Población Activa, Instituto Nacional de Estadística</w:t>
      </w:r>
    </w:p>
  </w:footnote>
  <w:footnote w:id="11">
    <w:p w:rsidR="003C4DD0" w:rsidRPr="00842404" w:rsidRDefault="003C4DD0">
      <w:pPr>
        <w:pStyle w:val="Textonotapie"/>
        <w:rPr>
          <w:lang w:val="es-ES_tradnl"/>
        </w:rPr>
      </w:pPr>
      <w:r>
        <w:rPr>
          <w:rStyle w:val="Refdenotaalpie"/>
        </w:rPr>
        <w:footnoteRef/>
      </w:r>
      <w:r>
        <w:t xml:space="preserve"> </w:t>
      </w:r>
      <w:r w:rsidRPr="00842404">
        <w:rPr>
          <w:lang w:val="es-ES_tradnl"/>
        </w:rPr>
        <w:t xml:space="preserve">Aunque el número de </w:t>
      </w:r>
      <w:r>
        <w:rPr>
          <w:lang w:val="es-ES_tradnl"/>
        </w:rPr>
        <w:t>CEEs</w:t>
      </w:r>
      <w:r w:rsidRPr="00842404">
        <w:rPr>
          <w:lang w:val="es-ES_tradnl"/>
        </w:rPr>
        <w:t xml:space="preserve"> existentes en Castilla y León en el momento de elaboración de este estudio (julio 2014) era de 188, algunos de ellos fueron excluidos del análisis por problemas con la información disponible. Por esta razón, el número de centros analizados es de 169, lo que supone un 90% de todos los </w:t>
      </w:r>
      <w:r>
        <w:rPr>
          <w:lang w:val="es-ES_tradnl"/>
        </w:rPr>
        <w:t>CEEs</w:t>
      </w:r>
      <w:r w:rsidRPr="00842404">
        <w:rPr>
          <w:lang w:val="es-ES_tradnl"/>
        </w:rPr>
        <w:t xml:space="preserve"> de Castilla y León.</w:t>
      </w:r>
      <w:r>
        <w:rPr>
          <w:lang w:val="es-ES_tradnl"/>
        </w:rPr>
        <w:t xml:space="preserve"> Sin embargo, se consideró que las opiniones de los gestores de aquellos centros que quedaron excluidos del análisis cuantitativo también debían ser tenidas en cuenta por lo que la encuesta de impacto cualitativo fue enviada a la totalidad de los centros (188).</w:t>
      </w:r>
    </w:p>
  </w:footnote>
  <w:footnote w:id="12">
    <w:p w:rsidR="003C4DD0" w:rsidRPr="00EB1BA8" w:rsidRDefault="003C4DD0" w:rsidP="004B010B">
      <w:pPr>
        <w:autoSpaceDE w:val="0"/>
        <w:autoSpaceDN w:val="0"/>
        <w:adjustRightInd w:val="0"/>
        <w:rPr>
          <w:rFonts w:asciiTheme="minorHAnsi" w:hAnsiTheme="minorHAnsi" w:cstheme="minorHAnsi"/>
          <w:bCs/>
          <w:sz w:val="18"/>
          <w:szCs w:val="18"/>
          <w:lang w:eastAsia="es-ES"/>
        </w:rPr>
      </w:pPr>
      <w:r>
        <w:rPr>
          <w:rStyle w:val="Refdenotaalpie"/>
        </w:rPr>
        <w:footnoteRef/>
      </w:r>
      <w:r w:rsidRPr="00EB1BA8">
        <w:t xml:space="preserve"> </w:t>
      </w:r>
      <w:r w:rsidRPr="00EB1BA8">
        <w:rPr>
          <w:sz w:val="18"/>
          <w:szCs w:val="18"/>
        </w:rPr>
        <w:t>Instituto Nacional de Estadística</w:t>
      </w:r>
      <w:r w:rsidRPr="00EB1BA8">
        <w:rPr>
          <w:rFonts w:asciiTheme="minorHAnsi" w:hAnsiTheme="minorHAnsi" w:cstheme="minorHAnsi"/>
          <w:sz w:val="18"/>
          <w:szCs w:val="18"/>
        </w:rPr>
        <w:t xml:space="preserve">, </w:t>
      </w:r>
      <w:r w:rsidRPr="00EB1BA8">
        <w:rPr>
          <w:rFonts w:asciiTheme="minorHAnsi" w:hAnsiTheme="minorHAnsi" w:cstheme="minorHAnsi"/>
          <w:bCs/>
          <w:sz w:val="18"/>
          <w:szCs w:val="18"/>
          <w:lang w:eastAsia="es-ES"/>
        </w:rPr>
        <w:t>El Empleo d</w:t>
      </w:r>
      <w:r>
        <w:rPr>
          <w:rFonts w:asciiTheme="minorHAnsi" w:hAnsiTheme="minorHAnsi" w:cstheme="minorHAnsi"/>
          <w:bCs/>
          <w:sz w:val="18"/>
          <w:szCs w:val="18"/>
          <w:lang w:eastAsia="es-ES"/>
        </w:rPr>
        <w:t xml:space="preserve">e las Personas con Discapacidad, </w:t>
      </w:r>
      <w:r w:rsidRPr="00EB1BA8">
        <w:rPr>
          <w:rFonts w:asciiTheme="minorHAnsi" w:hAnsiTheme="minorHAnsi" w:cstheme="minorHAnsi"/>
          <w:sz w:val="18"/>
          <w:szCs w:val="18"/>
          <w:lang w:eastAsia="es-ES"/>
        </w:rPr>
        <w:t>Explotación de la Encuesta de Población Activa y de la Base Estatal de Personas</w:t>
      </w:r>
      <w:r>
        <w:rPr>
          <w:rFonts w:asciiTheme="minorHAnsi" w:hAnsiTheme="minorHAnsi" w:cstheme="minorHAnsi"/>
          <w:bCs/>
          <w:sz w:val="18"/>
          <w:szCs w:val="18"/>
          <w:lang w:eastAsia="es-ES"/>
        </w:rPr>
        <w:t xml:space="preserve"> </w:t>
      </w:r>
      <w:r w:rsidRPr="00EB1BA8">
        <w:rPr>
          <w:rFonts w:asciiTheme="minorHAnsi" w:hAnsiTheme="minorHAnsi" w:cstheme="minorHAnsi"/>
          <w:sz w:val="18"/>
          <w:szCs w:val="18"/>
          <w:lang w:eastAsia="es-ES"/>
        </w:rPr>
        <w:t>con Discapacidad.</w:t>
      </w:r>
      <w:r>
        <w:rPr>
          <w:rFonts w:asciiTheme="minorHAnsi" w:hAnsiTheme="minorHAnsi" w:cstheme="minorHAnsi"/>
          <w:sz w:val="18"/>
          <w:szCs w:val="18"/>
          <w:lang w:eastAsia="es-ES"/>
        </w:rPr>
        <w:t xml:space="preserve"> </w:t>
      </w:r>
      <w:r w:rsidRPr="00EB1BA8">
        <w:rPr>
          <w:rFonts w:asciiTheme="minorHAnsi" w:hAnsiTheme="minorHAnsi" w:cstheme="minorHAnsi"/>
          <w:sz w:val="18"/>
          <w:szCs w:val="18"/>
          <w:lang w:eastAsia="es-ES"/>
        </w:rPr>
        <w:t>Año 2012</w:t>
      </w:r>
      <w:r>
        <w:rPr>
          <w:rFonts w:asciiTheme="minorHAnsi" w:hAnsiTheme="minorHAnsi" w:cstheme="minorHAnsi"/>
          <w:sz w:val="18"/>
          <w:szCs w:val="18"/>
          <w:lang w:eastAsia="es-ES"/>
        </w:rPr>
        <w:t>. Nota de prensa 9 de diciembre 2013</w:t>
      </w:r>
    </w:p>
  </w:footnote>
  <w:footnote w:id="13">
    <w:p w:rsidR="003C4DD0" w:rsidRPr="00F82D52" w:rsidRDefault="003C4DD0" w:rsidP="000F2C9E">
      <w:pPr>
        <w:pStyle w:val="Textonotapie"/>
      </w:pPr>
      <w:r>
        <w:rPr>
          <w:rStyle w:val="Refdenotaalpie"/>
        </w:rPr>
        <w:footnoteRef/>
      </w:r>
      <w:r w:rsidRPr="00F82D52">
        <w:t xml:space="preserve"> </w:t>
      </w:r>
      <w:r>
        <w:t>MIT Atlas of Economic Complexity identifica sectores de la economía española con v</w:t>
      </w:r>
      <w:r w:rsidRPr="00F82D52">
        <w:t>entaja competitiva en la exportación</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pPr>
      <w:pStyle w:val="Encabezado"/>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tblPr>
    <w:tblGrid>
      <w:gridCol w:w="4111"/>
    </w:tblGrid>
    <w:tr w:rsidR="003C4DD0">
      <w:trPr>
        <w:trHeight w:hRule="exact" w:val="220"/>
      </w:trPr>
      <w:tc>
        <w:tcPr>
          <w:tcW w:w="4111" w:type="dxa"/>
        </w:tcPr>
        <w:p w:rsidR="003C4DD0" w:rsidRDefault="00AC67C0">
          <w:pPr>
            <w:pStyle w:val="Encabezado"/>
            <w:framePr w:hSpace="181" w:wrap="around" w:vAnchor="text" w:hAnchor="text" w:xAlign="right" w:y="1"/>
            <w:rPr>
              <w:b/>
            </w:rPr>
          </w:pPr>
          <w:r>
            <w:rPr>
              <w:b/>
            </w:rPr>
            <w:fldChar w:fldCharType="begin"/>
          </w:r>
          <w:r w:rsidR="003C4DD0">
            <w:rPr>
              <w:b/>
            </w:rPr>
            <w:instrText xml:space="preserve"> DocProperty KISClient \* charformat </w:instrText>
          </w:r>
          <w:r>
            <w:rPr>
              <w:b/>
            </w:rPr>
            <w:fldChar w:fldCharType="separate"/>
          </w:r>
          <w:r w:rsidR="003C4DD0">
            <w:rPr>
              <w:b/>
            </w:rPr>
            <w:t>Client name</w:t>
          </w:r>
          <w:r>
            <w:rPr>
              <w:b/>
            </w:rPr>
            <w:fldChar w:fldCharType="end"/>
          </w:r>
        </w:p>
      </w:tc>
    </w:tr>
    <w:tr w:rsidR="003C4DD0">
      <w:trPr>
        <w:trHeight w:hRule="exact" w:val="220"/>
      </w:trPr>
      <w:tc>
        <w:tcPr>
          <w:tcW w:w="4111" w:type="dxa"/>
        </w:tcPr>
        <w:p w:rsidR="003C4DD0" w:rsidRDefault="00AC67C0">
          <w:pPr>
            <w:pStyle w:val="Encabezado"/>
            <w:framePr w:hSpace="181" w:wrap="around" w:vAnchor="text" w:hAnchor="text" w:xAlign="right" w:y="1"/>
          </w:pPr>
          <w:r>
            <w:fldChar w:fldCharType="begin"/>
          </w:r>
          <w:r w:rsidR="003C4DD0">
            <w:instrText xml:space="preserve"> DocProperty KISSubject  \* charformat </w:instrText>
          </w:r>
          <w:r>
            <w:fldChar w:fldCharType="separate"/>
          </w:r>
          <w:r w:rsidR="003C4DD0">
            <w:t>Report title</w:t>
          </w:r>
          <w:r>
            <w:fldChar w:fldCharType="end"/>
          </w:r>
        </w:p>
      </w:tc>
    </w:tr>
    <w:tr w:rsidR="003C4DD0" w:rsidRPr="00374404">
      <w:tc>
        <w:tcPr>
          <w:tcW w:w="4111" w:type="dxa"/>
        </w:tcPr>
        <w:p w:rsidR="003C4DD0" w:rsidRPr="00374404" w:rsidRDefault="00AC67C0">
          <w:pPr>
            <w:pStyle w:val="Encabezado"/>
            <w:framePr w:hSpace="181" w:wrap="around" w:vAnchor="text" w:hAnchor="text" w:xAlign="right" w:y="1"/>
            <w:rPr>
              <w:lang w:val="en-US"/>
            </w:rPr>
          </w:pPr>
          <w:r>
            <w:fldChar w:fldCharType="begin"/>
          </w:r>
          <w:r w:rsidR="003C4DD0" w:rsidRPr="00374404">
            <w:rPr>
              <w:lang w:val="en-US"/>
            </w:rPr>
            <w:instrText xml:space="preserve"> DocProperty KISHdrInfo \* charformat </w:instrText>
          </w:r>
          <w:r>
            <w:fldChar w:fldCharType="separate"/>
          </w:r>
          <w:r w:rsidR="003C4DD0">
            <w:rPr>
              <w:lang w:val="en-US"/>
            </w:rPr>
            <w:t>Date of issue</w:t>
          </w:r>
          <w:r>
            <w:fldChar w:fldCharType="end"/>
          </w:r>
        </w:p>
      </w:tc>
    </w:tr>
  </w:tbl>
  <w:p w:rsidR="003C4DD0" w:rsidRPr="00374404" w:rsidRDefault="003C4DD0">
    <w:pPr>
      <w:pStyle w:val="Encabezado"/>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rsidP="00842404">
    <w:pPr>
      <w:pStyle w:val="Encabezado"/>
      <w:tabs>
        <w:tab w:val="left" w:pos="284"/>
        <w:tab w:val="right" w:pos="8789"/>
      </w:tabs>
      <w:ind w:left="-142"/>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BE" w:rsidRDefault="00AB6BBE">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pPr>
      <w:pStyle w:val="Encabezado"/>
      <w:framePr w:hSpace="181" w:wrap="around" w:vAnchor="text" w:hAnchor="margin" w:y="-407"/>
      <w:jc w:val="left"/>
      <w:rPr>
        <w:i w:val="0"/>
        <w:sz w:val="26"/>
        <w:szCs w:val="26"/>
      </w:rPr>
    </w:pPr>
  </w:p>
  <w:p w:rsidR="003C4DD0" w:rsidRPr="00374404" w:rsidRDefault="00C62C91">
    <w:pPr>
      <w:pStyle w:val="Encabezado"/>
      <w:rPr>
        <w:lang w:val="en-US"/>
      </w:rPr>
    </w:pPr>
    <w:r w:rsidRPr="00842404">
      <w:rPr>
        <w:rFonts w:ascii="KPMG Logo" w:hAnsi="KPMG Logo"/>
        <w:i w:val="0"/>
        <w:noProof/>
        <w:sz w:val="26"/>
        <w:szCs w:val="26"/>
        <w:lang w:eastAsia="es-ES"/>
      </w:rPr>
      <w:drawing>
        <wp:anchor distT="0" distB="0" distL="114300" distR="114300" simplePos="0" relativeHeight="251663872" behindDoc="0" locked="0" layoutInCell="1" allowOverlap="1">
          <wp:simplePos x="0" y="0"/>
          <wp:positionH relativeFrom="column">
            <wp:posOffset>2940050</wp:posOffset>
          </wp:positionH>
          <wp:positionV relativeFrom="paragraph">
            <wp:posOffset>-273685</wp:posOffset>
          </wp:positionV>
          <wp:extent cx="721995" cy="308610"/>
          <wp:effectExtent l="0" t="0" r="1905" b="0"/>
          <wp:wrapNone/>
          <wp:docPr id="38"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ONCE_INSERTA_logo_CMYK_media.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1995" cy="308610"/>
                  </a:xfrm>
                  <a:prstGeom prst="rect">
                    <a:avLst/>
                  </a:prstGeom>
                </pic:spPr>
              </pic:pic>
            </a:graphicData>
          </a:graphic>
        </wp:anchor>
      </w:drawing>
    </w:r>
    <w:r w:rsidRPr="00842404">
      <w:rPr>
        <w:rFonts w:ascii="KPMG Logo" w:hAnsi="KPMG Logo"/>
        <w:i w:val="0"/>
        <w:noProof/>
        <w:sz w:val="26"/>
        <w:szCs w:val="26"/>
        <w:lang w:eastAsia="es-ES"/>
      </w:rPr>
      <w:drawing>
        <wp:anchor distT="0" distB="0" distL="114300" distR="114300" simplePos="0" relativeHeight="251661824" behindDoc="0" locked="0" layoutInCell="1" allowOverlap="1">
          <wp:simplePos x="0" y="0"/>
          <wp:positionH relativeFrom="column">
            <wp:posOffset>1318260</wp:posOffset>
          </wp:positionH>
          <wp:positionV relativeFrom="paragraph">
            <wp:posOffset>-257175</wp:posOffset>
          </wp:positionV>
          <wp:extent cx="925195" cy="287655"/>
          <wp:effectExtent l="0" t="0" r="8255" b="0"/>
          <wp:wrapNone/>
          <wp:docPr id="37"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undacion_once_new.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195" cy="287655"/>
                  </a:xfrm>
                  <a:prstGeom prst="rect">
                    <a:avLst/>
                  </a:prstGeom>
                </pic:spPr>
              </pic:pic>
            </a:graphicData>
          </a:graphic>
        </wp:anchor>
      </w:drawing>
    </w:r>
    <w:r w:rsidRPr="00842404">
      <w:rPr>
        <w:rFonts w:ascii="KPMG Logo" w:hAnsi="KPMG Logo"/>
        <w:i w:val="0"/>
        <w:noProof/>
        <w:sz w:val="26"/>
        <w:szCs w:val="26"/>
        <w:lang w:eastAsia="es-ES"/>
      </w:rPr>
      <w:drawing>
        <wp:anchor distT="0" distB="0" distL="114300" distR="114300" simplePos="0" relativeHeight="251662848" behindDoc="0" locked="0" layoutInCell="1" allowOverlap="1">
          <wp:simplePos x="0" y="0"/>
          <wp:positionH relativeFrom="column">
            <wp:posOffset>4374515</wp:posOffset>
          </wp:positionH>
          <wp:positionV relativeFrom="paragraph">
            <wp:posOffset>-298450</wp:posOffset>
          </wp:positionV>
          <wp:extent cx="827405" cy="476885"/>
          <wp:effectExtent l="0" t="0" r="0" b="0"/>
          <wp:wrapNone/>
          <wp:docPr id="3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SE.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7405" cy="476885"/>
                  </a:xfrm>
                  <a:prstGeom prst="rect">
                    <a:avLst/>
                  </a:prstGeom>
                </pic:spPr>
              </pic:pic>
            </a:graphicData>
          </a:graphic>
        </wp:anchor>
      </w:drawing>
    </w:r>
    <w:r w:rsidR="003C4DD0" w:rsidRPr="00842404">
      <w:rPr>
        <w:rFonts w:ascii="KPMG Logo" w:hAnsi="KPMG Logo"/>
        <w:i w:val="0"/>
        <w:noProof/>
        <w:sz w:val="26"/>
        <w:szCs w:val="26"/>
        <w:lang w:eastAsia="es-ES"/>
      </w:rPr>
      <w:drawing>
        <wp:anchor distT="0" distB="0" distL="114300" distR="114300" simplePos="0" relativeHeight="251665920" behindDoc="0" locked="0" layoutInCell="1" allowOverlap="1">
          <wp:simplePos x="0" y="0"/>
          <wp:positionH relativeFrom="column">
            <wp:posOffset>5080</wp:posOffset>
          </wp:positionH>
          <wp:positionV relativeFrom="paragraph">
            <wp:posOffset>-252730</wp:posOffset>
          </wp:positionV>
          <wp:extent cx="590550" cy="228600"/>
          <wp:effectExtent l="0" t="0" r="0" b="0"/>
          <wp:wrapSquare wrapText="bothSides"/>
          <wp:docPr id="41" name="Imagen 2" descr="KPMG 287-3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 287-30p"/>
                  <pic:cNvPicPr>
                    <a:picLocks noChangeAspect="1" noChangeArrowheads="1"/>
                  </pic:cNvPicPr>
                </pic:nvPicPr>
                <pic:blipFill>
                  <a:blip r:embed="rId4"/>
                  <a:srcRect/>
                  <a:stretch>
                    <a:fillRect/>
                  </a:stretch>
                </pic:blipFill>
                <pic:spPr bwMode="auto">
                  <a:xfrm>
                    <a:off x="0" y="0"/>
                    <a:ext cx="590550" cy="228600"/>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D0" w:rsidRDefault="003C4DD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5F45C84"/>
    <w:lvl w:ilvl="0">
      <w:start w:val="1"/>
      <w:numFmt w:val="decimal"/>
      <w:lvlText w:val="%1."/>
      <w:lvlJc w:val="left"/>
      <w:pPr>
        <w:tabs>
          <w:tab w:val="num" w:pos="1492"/>
        </w:tabs>
        <w:ind w:left="1492" w:hanging="360"/>
      </w:pPr>
    </w:lvl>
  </w:abstractNum>
  <w:abstractNum w:abstractNumId="1">
    <w:nsid w:val="FFFFFF7D"/>
    <w:multiLevelType w:val="singleLevel"/>
    <w:tmpl w:val="47E2FDFA"/>
    <w:lvl w:ilvl="0">
      <w:start w:val="1"/>
      <w:numFmt w:val="decimal"/>
      <w:lvlText w:val="%1."/>
      <w:lvlJc w:val="left"/>
      <w:pPr>
        <w:tabs>
          <w:tab w:val="num" w:pos="1209"/>
        </w:tabs>
        <w:ind w:left="1209" w:hanging="360"/>
      </w:pPr>
    </w:lvl>
  </w:abstractNum>
  <w:abstractNum w:abstractNumId="2">
    <w:nsid w:val="FFFFFF7E"/>
    <w:multiLevelType w:val="singleLevel"/>
    <w:tmpl w:val="D1DC80F2"/>
    <w:lvl w:ilvl="0">
      <w:start w:val="1"/>
      <w:numFmt w:val="decimal"/>
      <w:lvlText w:val="%1."/>
      <w:lvlJc w:val="left"/>
      <w:pPr>
        <w:tabs>
          <w:tab w:val="num" w:pos="926"/>
        </w:tabs>
        <w:ind w:left="926" w:hanging="360"/>
      </w:pPr>
    </w:lvl>
  </w:abstractNum>
  <w:abstractNum w:abstractNumId="3">
    <w:nsid w:val="FFFFFF7F"/>
    <w:multiLevelType w:val="singleLevel"/>
    <w:tmpl w:val="3836B888"/>
    <w:lvl w:ilvl="0">
      <w:start w:val="1"/>
      <w:numFmt w:val="decimal"/>
      <w:lvlText w:val="%1."/>
      <w:lvlJc w:val="left"/>
      <w:pPr>
        <w:tabs>
          <w:tab w:val="num" w:pos="643"/>
        </w:tabs>
        <w:ind w:left="643" w:hanging="360"/>
      </w:pPr>
    </w:lvl>
  </w:abstractNum>
  <w:abstractNum w:abstractNumId="4">
    <w:nsid w:val="FFFFFF80"/>
    <w:multiLevelType w:val="singleLevel"/>
    <w:tmpl w:val="247E47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0E3BDA"/>
    <w:lvl w:ilvl="0">
      <w:start w:val="1"/>
      <w:numFmt w:val="bullet"/>
      <w:pStyle w:val="Listaconvietas4"/>
      <w:lvlText w:val="-"/>
      <w:lvlJc w:val="left"/>
      <w:pPr>
        <w:tabs>
          <w:tab w:val="num" w:pos="680"/>
        </w:tabs>
        <w:ind w:left="680" w:hanging="340"/>
      </w:pPr>
      <w:rPr>
        <w:rFonts w:ascii="9999999" w:hAnsi="9999999" w:cs="Courier New" w:hint="default"/>
      </w:rPr>
    </w:lvl>
  </w:abstractNum>
  <w:abstractNum w:abstractNumId="6">
    <w:nsid w:val="FFFFFF82"/>
    <w:multiLevelType w:val="singleLevel"/>
    <w:tmpl w:val="09DC7A00"/>
    <w:lvl w:ilvl="0">
      <w:start w:val="1"/>
      <w:numFmt w:val="bullet"/>
      <w:pStyle w:val="Listaconvietas3"/>
      <w:lvlText w:val=""/>
      <w:lvlJc w:val="left"/>
      <w:pPr>
        <w:tabs>
          <w:tab w:val="num" w:pos="340"/>
        </w:tabs>
        <w:ind w:left="340" w:hanging="340"/>
      </w:pPr>
      <w:rPr>
        <w:rFonts w:ascii="Symbol" w:hAnsi="Symbol" w:hint="default"/>
        <w:color w:val="auto"/>
        <w:sz w:val="18"/>
        <w:szCs w:val="18"/>
      </w:rPr>
    </w:lvl>
  </w:abstractNum>
  <w:abstractNum w:abstractNumId="7">
    <w:nsid w:val="FFFFFF88"/>
    <w:multiLevelType w:val="singleLevel"/>
    <w:tmpl w:val="299ED95C"/>
    <w:lvl w:ilvl="0">
      <w:start w:val="1"/>
      <w:numFmt w:val="decimal"/>
      <w:lvlText w:val="%1."/>
      <w:lvlJc w:val="left"/>
      <w:pPr>
        <w:tabs>
          <w:tab w:val="num" w:pos="360"/>
        </w:tabs>
        <w:ind w:left="360" w:hanging="360"/>
      </w:pPr>
    </w:lvl>
  </w:abstractNum>
  <w:abstractNum w:abstractNumId="8">
    <w:nsid w:val="FFFFFFFB"/>
    <w:multiLevelType w:val="multilevel"/>
    <w:tmpl w:val="92AC5918"/>
    <w:lvl w:ilvl="0">
      <w:start w:val="1"/>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numFmt w:val="none"/>
      <w:suff w:val="nothing"/>
      <w:lvlText w:val=""/>
      <w:lvlJc w:val="left"/>
      <w:rPr>
        <w:rFonts w:ascii="Tms Rmn" w:hAnsi="Tms Rmn" w:hint="default"/>
        <w:b w:val="0"/>
        <w:i w:val="0"/>
        <w:strike w:val="0"/>
        <w:u w:val="none"/>
      </w:rPr>
    </w:lvl>
    <w:lvl w:ilvl="5">
      <w:numFmt w:val="none"/>
      <w:suff w:val="nothing"/>
      <w:lvlText w:val=""/>
      <w:lvlJc w:val="left"/>
      <w:rPr>
        <w:rFonts w:ascii="Tms Rmn" w:hAnsi="Tms Rmn" w:hint="default"/>
        <w:b w:val="0"/>
        <w:i w:val="0"/>
        <w:strike w:val="0"/>
        <w:u w:val="none"/>
      </w:rPr>
    </w:lvl>
    <w:lvl w:ilvl="6">
      <w:numFmt w:val="none"/>
      <w:suff w:val="nothing"/>
      <w:lvlText w:val=""/>
      <w:lvlJc w:val="left"/>
      <w:rPr>
        <w:rFonts w:ascii="Tms Rmn" w:hAnsi="Tms Rmn" w:hint="default"/>
        <w:b w:val="0"/>
        <w:i w:val="0"/>
        <w:strike w:val="0"/>
        <w:u w:val="none"/>
      </w:rPr>
    </w:lvl>
    <w:lvl w:ilvl="7">
      <w:numFmt w:val="none"/>
      <w:suff w:val="nothing"/>
      <w:lvlText w:val=""/>
      <w:lvlJc w:val="left"/>
      <w:rPr>
        <w:rFonts w:ascii="Tms Rmn" w:hAnsi="Tms Rmn" w:hint="default"/>
        <w:b w:val="0"/>
        <w:i w:val="0"/>
        <w:strike w:val="0"/>
        <w:u w:val="none"/>
      </w:rPr>
    </w:lvl>
    <w:lvl w:ilvl="8">
      <w:numFmt w:val="none"/>
      <w:suff w:val="nothing"/>
      <w:lvlText w:val=""/>
      <w:lvlJc w:val="left"/>
      <w:rPr>
        <w:rFonts w:ascii="Tms Rmn" w:hAnsi="Tms Rmn" w:hint="default"/>
        <w:b w:val="0"/>
        <w:i w:val="0"/>
        <w:strike w:val="0"/>
        <w:u w:val="none"/>
      </w:rPr>
    </w:lvl>
  </w:abstractNum>
  <w:abstractNum w:abstractNumId="9">
    <w:nsid w:val="009B6B19"/>
    <w:multiLevelType w:val="multilevel"/>
    <w:tmpl w:val="48B22B4A"/>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0">
    <w:nsid w:val="022206A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225760D"/>
    <w:multiLevelType w:val="singleLevel"/>
    <w:tmpl w:val="2A008732"/>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02856233"/>
    <w:multiLevelType w:val="singleLevel"/>
    <w:tmpl w:val="2B2A5658"/>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02AD6666"/>
    <w:multiLevelType w:val="hybridMultilevel"/>
    <w:tmpl w:val="8946AFDE"/>
    <w:lvl w:ilvl="0" w:tplc="62B893BE">
      <w:start w:val="1"/>
      <w:numFmt w:val="bullet"/>
      <w:pStyle w:val="Listaconvietas"/>
      <w:lvlText w:val=""/>
      <w:lvlJc w:val="left"/>
      <w:pPr>
        <w:tabs>
          <w:tab w:val="num" w:pos="340"/>
        </w:tabs>
        <w:ind w:left="340" w:hanging="34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47248DC"/>
    <w:multiLevelType w:val="hybridMultilevel"/>
    <w:tmpl w:val="AAEA8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67568E6"/>
    <w:multiLevelType w:val="multilevel"/>
    <w:tmpl w:val="4998D916"/>
    <w:lvl w:ilvl="0">
      <w:start w:val="1"/>
      <w:numFmt w:val="decimal"/>
      <w:lvlText w:val="%1"/>
      <w:lvlJc w:val="left"/>
      <w:pPr>
        <w:tabs>
          <w:tab w:val="num" w:pos="340"/>
        </w:tabs>
        <w:ind w:left="340" w:hanging="340"/>
      </w:pPr>
      <w:rPr>
        <w:rFonts w:ascii="Times New Roman" w:hAnsi="Times New Roman"/>
        <w:sz w:val="18"/>
        <w:szCs w:val="18"/>
      </w:rPr>
    </w:lvl>
    <w:lvl w:ilvl="1">
      <w:start w:val="1"/>
      <w:numFmt w:val="bullet"/>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6">
    <w:nsid w:val="072C6360"/>
    <w:multiLevelType w:val="singleLevel"/>
    <w:tmpl w:val="EF201F82"/>
    <w:lvl w:ilvl="0">
      <w:start w:val="1"/>
      <w:numFmt w:val="bullet"/>
      <w:lvlText w:val=""/>
      <w:lvlJc w:val="left"/>
      <w:pPr>
        <w:tabs>
          <w:tab w:val="num" w:pos="340"/>
        </w:tabs>
        <w:ind w:left="340" w:hanging="340"/>
      </w:pPr>
      <w:rPr>
        <w:rFonts w:ascii="Symbol" w:hAnsi="Symbol" w:hint="default"/>
        <w:color w:val="92D050"/>
        <w:sz w:val="40"/>
        <w:szCs w:val="40"/>
      </w:rPr>
    </w:lvl>
  </w:abstractNum>
  <w:abstractNum w:abstractNumId="17">
    <w:nsid w:val="085E22FA"/>
    <w:multiLevelType w:val="singleLevel"/>
    <w:tmpl w:val="DA3229C6"/>
    <w:lvl w:ilvl="0">
      <w:start w:val="1"/>
      <w:numFmt w:val="bullet"/>
      <w:lvlText w:val=""/>
      <w:lvlJc w:val="left"/>
      <w:pPr>
        <w:tabs>
          <w:tab w:val="num" w:pos="340"/>
        </w:tabs>
        <w:ind w:left="340" w:hanging="340"/>
      </w:pPr>
      <w:rPr>
        <w:rFonts w:ascii="Symbol" w:hAnsi="Symbol" w:hint="default"/>
        <w:color w:val="auto"/>
        <w:sz w:val="22"/>
      </w:rPr>
    </w:lvl>
  </w:abstractNum>
  <w:abstractNum w:abstractNumId="18">
    <w:nsid w:val="0A98196C"/>
    <w:multiLevelType w:val="singleLevel"/>
    <w:tmpl w:val="34EA8650"/>
    <w:lvl w:ilvl="0">
      <w:start w:val="1"/>
      <w:numFmt w:val="bullet"/>
      <w:lvlText w:val="−"/>
      <w:lvlJc w:val="left"/>
      <w:pPr>
        <w:ind w:left="360" w:hanging="360"/>
      </w:pPr>
      <w:rPr>
        <w:rFonts w:ascii="Times New Roman" w:hAnsi="Times New Roman" w:cs="Times New Roman" w:hint="default"/>
        <w:color w:val="auto"/>
        <w:sz w:val="22"/>
      </w:rPr>
    </w:lvl>
  </w:abstractNum>
  <w:abstractNum w:abstractNumId="19">
    <w:nsid w:val="0CA1382A"/>
    <w:multiLevelType w:val="singleLevel"/>
    <w:tmpl w:val="34EA8650"/>
    <w:lvl w:ilvl="0">
      <w:start w:val="1"/>
      <w:numFmt w:val="bullet"/>
      <w:lvlText w:val="−"/>
      <w:lvlJc w:val="left"/>
      <w:pPr>
        <w:ind w:left="360" w:hanging="360"/>
      </w:pPr>
      <w:rPr>
        <w:rFonts w:ascii="Times New Roman" w:hAnsi="Times New Roman" w:cs="Times New Roman" w:hint="default"/>
        <w:color w:val="auto"/>
        <w:sz w:val="22"/>
      </w:rPr>
    </w:lvl>
  </w:abstractNum>
  <w:abstractNum w:abstractNumId="20">
    <w:nsid w:val="0CB655CC"/>
    <w:multiLevelType w:val="singleLevel"/>
    <w:tmpl w:val="7D000982"/>
    <w:lvl w:ilvl="0">
      <w:start w:val="1"/>
      <w:numFmt w:val="bullet"/>
      <w:lvlText w:val=""/>
      <w:lvlJc w:val="left"/>
      <w:pPr>
        <w:tabs>
          <w:tab w:val="num" w:pos="340"/>
        </w:tabs>
        <w:ind w:left="340" w:hanging="340"/>
      </w:pPr>
      <w:rPr>
        <w:rFonts w:ascii="Symbol" w:hAnsi="Symbol" w:hint="default"/>
        <w:color w:val="auto"/>
        <w:sz w:val="22"/>
      </w:rPr>
    </w:lvl>
  </w:abstractNum>
  <w:abstractNum w:abstractNumId="21">
    <w:nsid w:val="0DAA77D8"/>
    <w:multiLevelType w:val="singleLevel"/>
    <w:tmpl w:val="E9142062"/>
    <w:lvl w:ilvl="0">
      <w:start w:val="1"/>
      <w:numFmt w:val="bullet"/>
      <w:lvlText w:val=""/>
      <w:lvlJc w:val="left"/>
      <w:pPr>
        <w:tabs>
          <w:tab w:val="num" w:pos="340"/>
        </w:tabs>
        <w:ind w:left="340" w:hanging="340"/>
      </w:pPr>
      <w:rPr>
        <w:rFonts w:ascii="Symbol" w:hAnsi="Symbol" w:hint="default"/>
        <w:color w:val="92D050"/>
        <w:sz w:val="40"/>
        <w:szCs w:val="40"/>
      </w:rPr>
    </w:lvl>
  </w:abstractNum>
  <w:abstractNum w:abstractNumId="22">
    <w:nsid w:val="1043058E"/>
    <w:multiLevelType w:val="singleLevel"/>
    <w:tmpl w:val="34EA8650"/>
    <w:lvl w:ilvl="0">
      <w:start w:val="1"/>
      <w:numFmt w:val="bullet"/>
      <w:lvlText w:val="−"/>
      <w:lvlJc w:val="left"/>
      <w:pPr>
        <w:ind w:left="360" w:hanging="360"/>
      </w:pPr>
      <w:rPr>
        <w:rFonts w:ascii="Times New Roman" w:hAnsi="Times New Roman" w:cs="Times New Roman" w:hint="default"/>
        <w:color w:val="auto"/>
        <w:sz w:val="22"/>
      </w:rPr>
    </w:lvl>
  </w:abstractNum>
  <w:abstractNum w:abstractNumId="23">
    <w:nsid w:val="10E010FD"/>
    <w:multiLevelType w:val="multilevel"/>
    <w:tmpl w:val="806C4374"/>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4">
    <w:nsid w:val="11B4621F"/>
    <w:multiLevelType w:val="hybridMultilevel"/>
    <w:tmpl w:val="38A0BF32"/>
    <w:lvl w:ilvl="0" w:tplc="AB2C2E06">
      <w:start w:val="1"/>
      <w:numFmt w:val="bullet"/>
      <w:lvlText w:val=""/>
      <w:lvlJc w:val="left"/>
      <w:pPr>
        <w:ind w:left="360" w:hanging="360"/>
      </w:pPr>
      <w:rPr>
        <w:rFonts w:ascii="Symbol" w:hAnsi="Symbol" w:hint="default"/>
        <w:color w:val="auto"/>
        <w:sz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14DD21F1"/>
    <w:multiLevelType w:val="multilevel"/>
    <w:tmpl w:val="4998D916"/>
    <w:lvl w:ilvl="0">
      <w:start w:val="1"/>
      <w:numFmt w:val="decimal"/>
      <w:lvlText w:val="%1"/>
      <w:lvlJc w:val="left"/>
      <w:pPr>
        <w:tabs>
          <w:tab w:val="num" w:pos="340"/>
        </w:tabs>
        <w:ind w:left="340" w:hanging="340"/>
      </w:pPr>
      <w:rPr>
        <w:rFonts w:ascii="Times New Roman" w:hAnsi="Times New Roman"/>
        <w:sz w:val="18"/>
        <w:szCs w:val="18"/>
      </w:rPr>
    </w:lvl>
    <w:lvl w:ilvl="1">
      <w:start w:val="1"/>
      <w:numFmt w:val="bullet"/>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6">
    <w:nsid w:val="1F453F19"/>
    <w:multiLevelType w:val="singleLevel"/>
    <w:tmpl w:val="8F9E3F48"/>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1FE42B24"/>
    <w:multiLevelType w:val="hybridMultilevel"/>
    <w:tmpl w:val="A38EF820"/>
    <w:lvl w:ilvl="0" w:tplc="34EA8650">
      <w:start w:val="1"/>
      <w:numFmt w:val="bullet"/>
      <w:lvlText w:val="−"/>
      <w:lvlJc w:val="left"/>
      <w:pPr>
        <w:ind w:left="1068" w:hanging="360"/>
      </w:pPr>
      <w:rPr>
        <w:rFonts w:ascii="Times New Roman" w:hAnsi="Times New Roman" w:cs="Times New Roman" w:hint="default"/>
        <w:color w:val="auto"/>
        <w:sz w:val="2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nsid w:val="217A7614"/>
    <w:multiLevelType w:val="hybridMultilevel"/>
    <w:tmpl w:val="488821AA"/>
    <w:lvl w:ilvl="0" w:tplc="EE9A1E50">
      <w:start w:val="1"/>
      <w:numFmt w:val="bullet"/>
      <w:lvlText w:val=""/>
      <w:lvlJc w:val="left"/>
      <w:pPr>
        <w:tabs>
          <w:tab w:val="num" w:pos="720"/>
        </w:tabs>
        <w:ind w:left="720" w:hanging="360"/>
      </w:pPr>
      <w:rPr>
        <w:rFonts w:ascii="Wingdings" w:hAnsi="Wingdings" w:hint="default"/>
      </w:rPr>
    </w:lvl>
    <w:lvl w:ilvl="1" w:tplc="354CF726">
      <w:start w:val="25"/>
      <w:numFmt w:val="bullet"/>
      <w:lvlText w:val=""/>
      <w:lvlJc w:val="left"/>
      <w:pPr>
        <w:tabs>
          <w:tab w:val="num" w:pos="1440"/>
        </w:tabs>
        <w:ind w:left="1440" w:hanging="360"/>
      </w:pPr>
      <w:rPr>
        <w:rFonts w:ascii="Wingdings" w:hAnsi="Wingdings" w:hint="default"/>
      </w:rPr>
    </w:lvl>
    <w:lvl w:ilvl="2" w:tplc="0F6052EC" w:tentative="1">
      <w:start w:val="1"/>
      <w:numFmt w:val="bullet"/>
      <w:lvlText w:val=""/>
      <w:lvlJc w:val="left"/>
      <w:pPr>
        <w:tabs>
          <w:tab w:val="num" w:pos="2160"/>
        </w:tabs>
        <w:ind w:left="2160" w:hanging="360"/>
      </w:pPr>
      <w:rPr>
        <w:rFonts w:ascii="Wingdings" w:hAnsi="Wingdings" w:hint="default"/>
      </w:rPr>
    </w:lvl>
    <w:lvl w:ilvl="3" w:tplc="9B105BD6" w:tentative="1">
      <w:start w:val="1"/>
      <w:numFmt w:val="bullet"/>
      <w:lvlText w:val=""/>
      <w:lvlJc w:val="left"/>
      <w:pPr>
        <w:tabs>
          <w:tab w:val="num" w:pos="2880"/>
        </w:tabs>
        <w:ind w:left="2880" w:hanging="360"/>
      </w:pPr>
      <w:rPr>
        <w:rFonts w:ascii="Wingdings" w:hAnsi="Wingdings" w:hint="default"/>
      </w:rPr>
    </w:lvl>
    <w:lvl w:ilvl="4" w:tplc="A91ACB6C" w:tentative="1">
      <w:start w:val="1"/>
      <w:numFmt w:val="bullet"/>
      <w:lvlText w:val=""/>
      <w:lvlJc w:val="left"/>
      <w:pPr>
        <w:tabs>
          <w:tab w:val="num" w:pos="3600"/>
        </w:tabs>
        <w:ind w:left="3600" w:hanging="360"/>
      </w:pPr>
      <w:rPr>
        <w:rFonts w:ascii="Wingdings" w:hAnsi="Wingdings" w:hint="default"/>
      </w:rPr>
    </w:lvl>
    <w:lvl w:ilvl="5" w:tplc="87F8B2B8" w:tentative="1">
      <w:start w:val="1"/>
      <w:numFmt w:val="bullet"/>
      <w:lvlText w:val=""/>
      <w:lvlJc w:val="left"/>
      <w:pPr>
        <w:tabs>
          <w:tab w:val="num" w:pos="4320"/>
        </w:tabs>
        <w:ind w:left="4320" w:hanging="360"/>
      </w:pPr>
      <w:rPr>
        <w:rFonts w:ascii="Wingdings" w:hAnsi="Wingdings" w:hint="default"/>
      </w:rPr>
    </w:lvl>
    <w:lvl w:ilvl="6" w:tplc="E6D2C418" w:tentative="1">
      <w:start w:val="1"/>
      <w:numFmt w:val="bullet"/>
      <w:lvlText w:val=""/>
      <w:lvlJc w:val="left"/>
      <w:pPr>
        <w:tabs>
          <w:tab w:val="num" w:pos="5040"/>
        </w:tabs>
        <w:ind w:left="5040" w:hanging="360"/>
      </w:pPr>
      <w:rPr>
        <w:rFonts w:ascii="Wingdings" w:hAnsi="Wingdings" w:hint="default"/>
      </w:rPr>
    </w:lvl>
    <w:lvl w:ilvl="7" w:tplc="73CA6B62" w:tentative="1">
      <w:start w:val="1"/>
      <w:numFmt w:val="bullet"/>
      <w:lvlText w:val=""/>
      <w:lvlJc w:val="left"/>
      <w:pPr>
        <w:tabs>
          <w:tab w:val="num" w:pos="5760"/>
        </w:tabs>
        <w:ind w:left="5760" w:hanging="360"/>
      </w:pPr>
      <w:rPr>
        <w:rFonts w:ascii="Wingdings" w:hAnsi="Wingdings" w:hint="default"/>
      </w:rPr>
    </w:lvl>
    <w:lvl w:ilvl="8" w:tplc="2878FF5A" w:tentative="1">
      <w:start w:val="1"/>
      <w:numFmt w:val="bullet"/>
      <w:lvlText w:val=""/>
      <w:lvlJc w:val="left"/>
      <w:pPr>
        <w:tabs>
          <w:tab w:val="num" w:pos="6480"/>
        </w:tabs>
        <w:ind w:left="6480" w:hanging="360"/>
      </w:pPr>
      <w:rPr>
        <w:rFonts w:ascii="Wingdings" w:hAnsi="Wingdings" w:hint="default"/>
      </w:rPr>
    </w:lvl>
  </w:abstractNum>
  <w:abstractNum w:abstractNumId="29">
    <w:nsid w:val="259460EC"/>
    <w:multiLevelType w:val="singleLevel"/>
    <w:tmpl w:val="8B4EB3A4"/>
    <w:lvl w:ilvl="0">
      <w:start w:val="1"/>
      <w:numFmt w:val="bullet"/>
      <w:lvlText w:val=""/>
      <w:lvlJc w:val="left"/>
      <w:pPr>
        <w:tabs>
          <w:tab w:val="num" w:pos="340"/>
        </w:tabs>
        <w:ind w:left="340" w:hanging="340"/>
      </w:pPr>
      <w:rPr>
        <w:rFonts w:ascii="Symbol" w:hAnsi="Symbol" w:hint="default"/>
        <w:color w:val="auto"/>
        <w:sz w:val="22"/>
      </w:rPr>
    </w:lvl>
  </w:abstractNum>
  <w:abstractNum w:abstractNumId="30">
    <w:nsid w:val="2597588A"/>
    <w:multiLevelType w:val="singleLevel"/>
    <w:tmpl w:val="E91C82FA"/>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310126E5"/>
    <w:multiLevelType w:val="hybridMultilevel"/>
    <w:tmpl w:val="9B4AE31C"/>
    <w:lvl w:ilvl="0" w:tplc="34EA8650">
      <w:start w:val="1"/>
      <w:numFmt w:val="bullet"/>
      <w:lvlText w:val="−"/>
      <w:lvlJc w:val="left"/>
      <w:pPr>
        <w:ind w:left="1068" w:hanging="360"/>
      </w:pPr>
      <w:rPr>
        <w:rFonts w:ascii="Times New Roman" w:hAnsi="Times New Roman" w:cs="Times New Roman" w:hint="default"/>
        <w:color w:val="auto"/>
        <w:sz w:val="2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313464AF"/>
    <w:multiLevelType w:val="singleLevel"/>
    <w:tmpl w:val="EB687A64"/>
    <w:lvl w:ilvl="0">
      <w:start w:val="1"/>
      <w:numFmt w:val="bullet"/>
      <w:lvlText w:val=""/>
      <w:lvlJc w:val="left"/>
      <w:pPr>
        <w:tabs>
          <w:tab w:val="num" w:pos="340"/>
        </w:tabs>
        <w:ind w:left="340" w:hanging="340"/>
      </w:pPr>
      <w:rPr>
        <w:rFonts w:ascii="Symbol" w:hAnsi="Symbol" w:hint="default"/>
        <w:color w:val="92D050"/>
        <w:sz w:val="40"/>
        <w:szCs w:val="40"/>
      </w:rPr>
    </w:lvl>
  </w:abstractNum>
  <w:abstractNum w:abstractNumId="33">
    <w:nsid w:val="33741FCA"/>
    <w:multiLevelType w:val="singleLevel"/>
    <w:tmpl w:val="1C72A77A"/>
    <w:lvl w:ilvl="0">
      <w:start w:val="1"/>
      <w:numFmt w:val="bullet"/>
      <w:lvlText w:val=""/>
      <w:lvlJc w:val="left"/>
      <w:pPr>
        <w:tabs>
          <w:tab w:val="num" w:pos="340"/>
        </w:tabs>
        <w:ind w:left="340" w:hanging="340"/>
      </w:pPr>
      <w:rPr>
        <w:rFonts w:ascii="Symbol" w:hAnsi="Symbol" w:hint="default"/>
        <w:color w:val="auto"/>
        <w:sz w:val="22"/>
      </w:rPr>
    </w:lvl>
  </w:abstractNum>
  <w:abstractNum w:abstractNumId="34">
    <w:nsid w:val="3559425F"/>
    <w:multiLevelType w:val="hybridMultilevel"/>
    <w:tmpl w:val="1488FCCC"/>
    <w:lvl w:ilvl="0" w:tplc="C8D65C46">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62E52D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38FD11FC"/>
    <w:multiLevelType w:val="hybridMultilevel"/>
    <w:tmpl w:val="5CC0ABF2"/>
    <w:lvl w:ilvl="0" w:tplc="191C8D16">
      <w:start w:val="1"/>
      <w:numFmt w:val="bullet"/>
      <w:lvlText w:val=""/>
      <w:lvlJc w:val="left"/>
      <w:pPr>
        <w:tabs>
          <w:tab w:val="num" w:pos="720"/>
        </w:tabs>
        <w:ind w:left="720" w:hanging="360"/>
      </w:pPr>
      <w:rPr>
        <w:rFonts w:ascii="Wingdings" w:hAnsi="Wingdings" w:hint="default"/>
      </w:rPr>
    </w:lvl>
    <w:lvl w:ilvl="1" w:tplc="F1C80606" w:tentative="1">
      <w:start w:val="1"/>
      <w:numFmt w:val="bullet"/>
      <w:lvlText w:val=""/>
      <w:lvlJc w:val="left"/>
      <w:pPr>
        <w:tabs>
          <w:tab w:val="num" w:pos="1440"/>
        </w:tabs>
        <w:ind w:left="1440" w:hanging="360"/>
      </w:pPr>
      <w:rPr>
        <w:rFonts w:ascii="Wingdings" w:hAnsi="Wingdings" w:hint="default"/>
      </w:rPr>
    </w:lvl>
    <w:lvl w:ilvl="2" w:tplc="784ECC66" w:tentative="1">
      <w:start w:val="1"/>
      <w:numFmt w:val="bullet"/>
      <w:lvlText w:val=""/>
      <w:lvlJc w:val="left"/>
      <w:pPr>
        <w:tabs>
          <w:tab w:val="num" w:pos="2160"/>
        </w:tabs>
        <w:ind w:left="2160" w:hanging="360"/>
      </w:pPr>
      <w:rPr>
        <w:rFonts w:ascii="Wingdings" w:hAnsi="Wingdings" w:hint="default"/>
      </w:rPr>
    </w:lvl>
    <w:lvl w:ilvl="3" w:tplc="FCA03CF0" w:tentative="1">
      <w:start w:val="1"/>
      <w:numFmt w:val="bullet"/>
      <w:lvlText w:val=""/>
      <w:lvlJc w:val="left"/>
      <w:pPr>
        <w:tabs>
          <w:tab w:val="num" w:pos="2880"/>
        </w:tabs>
        <w:ind w:left="2880" w:hanging="360"/>
      </w:pPr>
      <w:rPr>
        <w:rFonts w:ascii="Wingdings" w:hAnsi="Wingdings" w:hint="default"/>
      </w:rPr>
    </w:lvl>
    <w:lvl w:ilvl="4" w:tplc="38907BEE" w:tentative="1">
      <w:start w:val="1"/>
      <w:numFmt w:val="bullet"/>
      <w:lvlText w:val=""/>
      <w:lvlJc w:val="left"/>
      <w:pPr>
        <w:tabs>
          <w:tab w:val="num" w:pos="3600"/>
        </w:tabs>
        <w:ind w:left="3600" w:hanging="360"/>
      </w:pPr>
      <w:rPr>
        <w:rFonts w:ascii="Wingdings" w:hAnsi="Wingdings" w:hint="default"/>
      </w:rPr>
    </w:lvl>
    <w:lvl w:ilvl="5" w:tplc="DD465F22" w:tentative="1">
      <w:start w:val="1"/>
      <w:numFmt w:val="bullet"/>
      <w:lvlText w:val=""/>
      <w:lvlJc w:val="left"/>
      <w:pPr>
        <w:tabs>
          <w:tab w:val="num" w:pos="4320"/>
        </w:tabs>
        <w:ind w:left="4320" w:hanging="360"/>
      </w:pPr>
      <w:rPr>
        <w:rFonts w:ascii="Wingdings" w:hAnsi="Wingdings" w:hint="default"/>
      </w:rPr>
    </w:lvl>
    <w:lvl w:ilvl="6" w:tplc="17FA4A48" w:tentative="1">
      <w:start w:val="1"/>
      <w:numFmt w:val="bullet"/>
      <w:lvlText w:val=""/>
      <w:lvlJc w:val="left"/>
      <w:pPr>
        <w:tabs>
          <w:tab w:val="num" w:pos="5040"/>
        </w:tabs>
        <w:ind w:left="5040" w:hanging="360"/>
      </w:pPr>
      <w:rPr>
        <w:rFonts w:ascii="Wingdings" w:hAnsi="Wingdings" w:hint="default"/>
      </w:rPr>
    </w:lvl>
    <w:lvl w:ilvl="7" w:tplc="339AE858" w:tentative="1">
      <w:start w:val="1"/>
      <w:numFmt w:val="bullet"/>
      <w:lvlText w:val=""/>
      <w:lvlJc w:val="left"/>
      <w:pPr>
        <w:tabs>
          <w:tab w:val="num" w:pos="5760"/>
        </w:tabs>
        <w:ind w:left="5760" w:hanging="360"/>
      </w:pPr>
      <w:rPr>
        <w:rFonts w:ascii="Wingdings" w:hAnsi="Wingdings" w:hint="default"/>
      </w:rPr>
    </w:lvl>
    <w:lvl w:ilvl="8" w:tplc="0FEC231C" w:tentative="1">
      <w:start w:val="1"/>
      <w:numFmt w:val="bullet"/>
      <w:lvlText w:val=""/>
      <w:lvlJc w:val="left"/>
      <w:pPr>
        <w:tabs>
          <w:tab w:val="num" w:pos="6480"/>
        </w:tabs>
        <w:ind w:left="6480" w:hanging="360"/>
      </w:pPr>
      <w:rPr>
        <w:rFonts w:ascii="Wingdings" w:hAnsi="Wingdings" w:hint="default"/>
      </w:rPr>
    </w:lvl>
  </w:abstractNum>
  <w:abstractNum w:abstractNumId="37">
    <w:nsid w:val="3A225C42"/>
    <w:multiLevelType w:val="hybridMultilevel"/>
    <w:tmpl w:val="41D28612"/>
    <w:lvl w:ilvl="0" w:tplc="34EA8650">
      <w:start w:val="1"/>
      <w:numFmt w:val="bullet"/>
      <w:lvlText w:val="−"/>
      <w:lvlJc w:val="left"/>
      <w:pPr>
        <w:ind w:left="1060" w:hanging="360"/>
      </w:pPr>
      <w:rPr>
        <w:rFonts w:ascii="Times New Roman" w:hAnsi="Times New Roman" w:cs="Times New Roman" w:hint="default"/>
        <w:color w:val="auto"/>
        <w:sz w:val="22"/>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8">
    <w:nsid w:val="3AB45B94"/>
    <w:multiLevelType w:val="hybridMultilevel"/>
    <w:tmpl w:val="14CC58C2"/>
    <w:lvl w:ilvl="0" w:tplc="97481E0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AD416F1"/>
    <w:multiLevelType w:val="multilevel"/>
    <w:tmpl w:val="DD162F9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C3B60EA"/>
    <w:multiLevelType w:val="multilevel"/>
    <w:tmpl w:val="70A86B60"/>
    <w:lvl w:ilvl="0">
      <w:start w:val="1"/>
      <w:numFmt w:val="decimal"/>
      <w:pStyle w:val="Ttulo1"/>
      <w:lvlText w:val="%1"/>
      <w:lvlJc w:val="left"/>
      <w:pPr>
        <w:tabs>
          <w:tab w:val="num" w:pos="0"/>
        </w:tabs>
        <w:ind w:left="0" w:hanging="964"/>
      </w:pPr>
    </w:lvl>
    <w:lvl w:ilvl="1">
      <w:start w:val="1"/>
      <w:numFmt w:val="decimal"/>
      <w:pStyle w:val="Ttulo2"/>
      <w:lvlText w:val="%1.%2"/>
      <w:lvlJc w:val="left"/>
      <w:pPr>
        <w:tabs>
          <w:tab w:val="num" w:pos="0"/>
        </w:tabs>
        <w:ind w:left="0" w:hanging="964"/>
      </w:pPr>
    </w:lvl>
    <w:lvl w:ilvl="2">
      <w:start w:val="1"/>
      <w:numFmt w:val="decimal"/>
      <w:pStyle w:val="Ttulo3"/>
      <w:lvlText w:val="%1.%2.%3"/>
      <w:lvlJc w:val="left"/>
      <w:pPr>
        <w:tabs>
          <w:tab w:val="num" w:pos="0"/>
        </w:tabs>
        <w:ind w:left="0" w:hanging="964"/>
      </w:pPr>
    </w:lvl>
    <w:lvl w:ilvl="3">
      <w:start w:val="1"/>
      <w:numFmt w:val="decimal"/>
      <w:pStyle w:val="Ttulo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nsid w:val="3FF85F00"/>
    <w:multiLevelType w:val="singleLevel"/>
    <w:tmpl w:val="E410E79A"/>
    <w:lvl w:ilvl="0">
      <w:start w:val="1"/>
      <w:numFmt w:val="bullet"/>
      <w:lvlText w:val=""/>
      <w:lvlJc w:val="left"/>
      <w:pPr>
        <w:tabs>
          <w:tab w:val="num" w:pos="340"/>
        </w:tabs>
        <w:ind w:left="340" w:hanging="340"/>
      </w:pPr>
      <w:rPr>
        <w:rFonts w:ascii="Symbol" w:hAnsi="Symbol" w:hint="default"/>
        <w:color w:val="auto"/>
        <w:sz w:val="22"/>
      </w:rPr>
    </w:lvl>
  </w:abstractNum>
  <w:abstractNum w:abstractNumId="42">
    <w:nsid w:val="400B3887"/>
    <w:multiLevelType w:val="singleLevel"/>
    <w:tmpl w:val="F3EEA65C"/>
    <w:lvl w:ilvl="0">
      <w:start w:val="1"/>
      <w:numFmt w:val="bullet"/>
      <w:lvlText w:val=""/>
      <w:lvlJc w:val="left"/>
      <w:pPr>
        <w:tabs>
          <w:tab w:val="num" w:pos="340"/>
        </w:tabs>
        <w:ind w:left="340" w:hanging="340"/>
      </w:pPr>
      <w:rPr>
        <w:rFonts w:ascii="Symbol" w:hAnsi="Symbol" w:hint="default"/>
        <w:color w:val="auto"/>
        <w:sz w:val="22"/>
      </w:rPr>
    </w:lvl>
  </w:abstractNum>
  <w:abstractNum w:abstractNumId="43">
    <w:nsid w:val="42B44892"/>
    <w:multiLevelType w:val="hybridMultilevel"/>
    <w:tmpl w:val="ADDA26CC"/>
    <w:lvl w:ilvl="0" w:tplc="34EA8650">
      <w:start w:val="1"/>
      <w:numFmt w:val="bullet"/>
      <w:lvlText w:val="−"/>
      <w:lvlJc w:val="left"/>
      <w:pPr>
        <w:ind w:left="927" w:hanging="360"/>
      </w:pPr>
      <w:rPr>
        <w:rFonts w:ascii="Times New Roman" w:hAnsi="Times New Roman" w:cs="Times New Roman" w:hint="default"/>
        <w:color w:val="auto"/>
        <w:sz w:val="22"/>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4">
    <w:nsid w:val="440B0D69"/>
    <w:multiLevelType w:val="multilevel"/>
    <w:tmpl w:val="F190CFA6"/>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5">
    <w:nsid w:val="448907FB"/>
    <w:multiLevelType w:val="singleLevel"/>
    <w:tmpl w:val="5302DE1A"/>
    <w:lvl w:ilvl="0">
      <w:start w:val="1"/>
      <w:numFmt w:val="bullet"/>
      <w:lvlText w:val=""/>
      <w:lvlJc w:val="left"/>
      <w:pPr>
        <w:tabs>
          <w:tab w:val="num" w:pos="340"/>
        </w:tabs>
        <w:ind w:left="340" w:hanging="340"/>
      </w:pPr>
      <w:rPr>
        <w:rFonts w:ascii="Symbol" w:hAnsi="Symbol" w:hint="default"/>
        <w:color w:val="92D050"/>
        <w:sz w:val="32"/>
        <w:szCs w:val="32"/>
      </w:rPr>
    </w:lvl>
  </w:abstractNum>
  <w:abstractNum w:abstractNumId="46">
    <w:nsid w:val="470C6793"/>
    <w:multiLevelType w:val="hybridMultilevel"/>
    <w:tmpl w:val="90AA33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484D6D59"/>
    <w:multiLevelType w:val="singleLevel"/>
    <w:tmpl w:val="34EA8650"/>
    <w:lvl w:ilvl="0">
      <w:start w:val="1"/>
      <w:numFmt w:val="bullet"/>
      <w:lvlText w:val="−"/>
      <w:lvlJc w:val="left"/>
      <w:pPr>
        <w:ind w:left="360" w:hanging="360"/>
      </w:pPr>
      <w:rPr>
        <w:rFonts w:ascii="Times New Roman" w:hAnsi="Times New Roman" w:cs="Times New Roman" w:hint="default"/>
        <w:color w:val="auto"/>
        <w:sz w:val="22"/>
      </w:rPr>
    </w:lvl>
  </w:abstractNum>
  <w:abstractNum w:abstractNumId="48">
    <w:nsid w:val="48C3283E"/>
    <w:multiLevelType w:val="singleLevel"/>
    <w:tmpl w:val="72F8F592"/>
    <w:lvl w:ilvl="0">
      <w:start w:val="1"/>
      <w:numFmt w:val="bullet"/>
      <w:lvlText w:val=""/>
      <w:lvlJc w:val="left"/>
      <w:pPr>
        <w:tabs>
          <w:tab w:val="num" w:pos="340"/>
        </w:tabs>
        <w:ind w:left="340" w:hanging="340"/>
      </w:pPr>
      <w:rPr>
        <w:rFonts w:ascii="Symbol" w:hAnsi="Symbol" w:hint="default"/>
        <w:color w:val="auto"/>
        <w:sz w:val="22"/>
      </w:rPr>
    </w:lvl>
  </w:abstractNum>
  <w:abstractNum w:abstractNumId="49">
    <w:nsid w:val="49713F44"/>
    <w:multiLevelType w:val="hybridMultilevel"/>
    <w:tmpl w:val="C2E0B92A"/>
    <w:lvl w:ilvl="0" w:tplc="34EA8650">
      <w:start w:val="1"/>
      <w:numFmt w:val="bullet"/>
      <w:lvlText w:val="−"/>
      <w:lvlJc w:val="left"/>
      <w:pPr>
        <w:ind w:left="1068" w:hanging="360"/>
      </w:pPr>
      <w:rPr>
        <w:rFonts w:ascii="Times New Roman" w:hAnsi="Times New Roman" w:cs="Times New Roman" w:hint="default"/>
        <w:color w:val="auto"/>
        <w:sz w:val="2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0">
    <w:nsid w:val="4A740072"/>
    <w:multiLevelType w:val="singleLevel"/>
    <w:tmpl w:val="302C7204"/>
    <w:lvl w:ilvl="0">
      <w:start w:val="1"/>
      <w:numFmt w:val="bullet"/>
      <w:lvlText w:val=""/>
      <w:lvlJc w:val="left"/>
      <w:pPr>
        <w:tabs>
          <w:tab w:val="num" w:pos="340"/>
        </w:tabs>
        <w:ind w:left="340" w:hanging="340"/>
      </w:pPr>
      <w:rPr>
        <w:rFonts w:ascii="Symbol" w:hAnsi="Symbol" w:hint="default"/>
        <w:color w:val="auto"/>
        <w:sz w:val="22"/>
      </w:rPr>
    </w:lvl>
  </w:abstractNum>
  <w:abstractNum w:abstractNumId="51">
    <w:nsid w:val="4A804702"/>
    <w:multiLevelType w:val="singleLevel"/>
    <w:tmpl w:val="14D0B48A"/>
    <w:lvl w:ilvl="0">
      <w:start w:val="1"/>
      <w:numFmt w:val="bullet"/>
      <w:lvlText w:val=""/>
      <w:lvlJc w:val="left"/>
      <w:pPr>
        <w:tabs>
          <w:tab w:val="num" w:pos="340"/>
        </w:tabs>
        <w:ind w:left="340" w:hanging="340"/>
      </w:pPr>
      <w:rPr>
        <w:rFonts w:ascii="Symbol" w:hAnsi="Symbol" w:hint="default"/>
        <w:color w:val="auto"/>
        <w:sz w:val="22"/>
      </w:rPr>
    </w:lvl>
  </w:abstractNum>
  <w:abstractNum w:abstractNumId="52">
    <w:nsid w:val="4BDA2D8C"/>
    <w:multiLevelType w:val="hybridMultilevel"/>
    <w:tmpl w:val="3420206A"/>
    <w:lvl w:ilvl="0" w:tplc="AB2C2E06">
      <w:start w:val="1"/>
      <w:numFmt w:val="bullet"/>
      <w:lvlText w:val=""/>
      <w:lvlJc w:val="left"/>
      <w:pPr>
        <w:ind w:left="360" w:hanging="360"/>
      </w:pPr>
      <w:rPr>
        <w:rFonts w:ascii="Symbol" w:hAnsi="Symbol" w:hint="default"/>
        <w:color w:val="auto"/>
        <w:sz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4BEB3528"/>
    <w:multiLevelType w:val="multilevel"/>
    <w:tmpl w:val="4998D916"/>
    <w:lvl w:ilvl="0">
      <w:start w:val="1"/>
      <w:numFmt w:val="decimal"/>
      <w:lvlText w:val="%1"/>
      <w:lvlJc w:val="left"/>
      <w:pPr>
        <w:tabs>
          <w:tab w:val="num" w:pos="340"/>
        </w:tabs>
        <w:ind w:left="340" w:hanging="340"/>
      </w:pPr>
      <w:rPr>
        <w:rFonts w:ascii="Times New Roman" w:hAnsi="Times New Roman"/>
        <w:sz w:val="18"/>
        <w:szCs w:val="18"/>
      </w:rPr>
    </w:lvl>
    <w:lvl w:ilvl="1">
      <w:start w:val="1"/>
      <w:numFmt w:val="bullet"/>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4">
    <w:nsid w:val="4E461E3E"/>
    <w:multiLevelType w:val="hybridMultilevel"/>
    <w:tmpl w:val="EE0252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4EAD7D6A"/>
    <w:multiLevelType w:val="singleLevel"/>
    <w:tmpl w:val="B7469F80"/>
    <w:lvl w:ilvl="0">
      <w:start w:val="1"/>
      <w:numFmt w:val="bullet"/>
      <w:lvlText w:val=""/>
      <w:lvlJc w:val="left"/>
      <w:pPr>
        <w:tabs>
          <w:tab w:val="num" w:pos="340"/>
        </w:tabs>
        <w:ind w:left="340" w:hanging="340"/>
      </w:pPr>
      <w:rPr>
        <w:rFonts w:ascii="Symbol" w:hAnsi="Symbol" w:hint="default"/>
        <w:color w:val="auto"/>
        <w:sz w:val="22"/>
      </w:rPr>
    </w:lvl>
  </w:abstractNum>
  <w:abstractNum w:abstractNumId="56">
    <w:nsid w:val="4F111551"/>
    <w:multiLevelType w:val="singleLevel"/>
    <w:tmpl w:val="9AA65BEC"/>
    <w:lvl w:ilvl="0">
      <w:start w:val="1"/>
      <w:numFmt w:val="bullet"/>
      <w:lvlText w:val=""/>
      <w:lvlJc w:val="left"/>
      <w:pPr>
        <w:ind w:left="720" w:hanging="360"/>
      </w:pPr>
      <w:rPr>
        <w:rFonts w:ascii="Symbol" w:hAnsi="Symbol" w:hint="default"/>
        <w:color w:val="auto"/>
        <w:sz w:val="22"/>
      </w:rPr>
    </w:lvl>
  </w:abstractNum>
  <w:abstractNum w:abstractNumId="57">
    <w:nsid w:val="4F6636F2"/>
    <w:multiLevelType w:val="hybridMultilevel"/>
    <w:tmpl w:val="65A842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570E0671"/>
    <w:multiLevelType w:val="singleLevel"/>
    <w:tmpl w:val="455EB060"/>
    <w:lvl w:ilvl="0">
      <w:start w:val="1"/>
      <w:numFmt w:val="bullet"/>
      <w:lvlText w:val=""/>
      <w:lvlJc w:val="left"/>
      <w:pPr>
        <w:tabs>
          <w:tab w:val="num" w:pos="340"/>
        </w:tabs>
        <w:ind w:left="340" w:hanging="340"/>
      </w:pPr>
      <w:rPr>
        <w:rFonts w:ascii="Symbol" w:hAnsi="Symbol" w:hint="default"/>
        <w:color w:val="FF0000"/>
        <w:sz w:val="40"/>
        <w:szCs w:val="40"/>
      </w:rPr>
    </w:lvl>
  </w:abstractNum>
  <w:abstractNum w:abstractNumId="59">
    <w:nsid w:val="58B96A9D"/>
    <w:multiLevelType w:val="hybridMultilevel"/>
    <w:tmpl w:val="D6B2F428"/>
    <w:lvl w:ilvl="0" w:tplc="4E50D16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96E0E82"/>
    <w:multiLevelType w:val="hybridMultilevel"/>
    <w:tmpl w:val="94D2C81C"/>
    <w:lvl w:ilvl="0" w:tplc="34EA8650">
      <w:start w:val="1"/>
      <w:numFmt w:val="bullet"/>
      <w:lvlText w:val="−"/>
      <w:lvlJc w:val="left"/>
      <w:pPr>
        <w:ind w:left="1060" w:hanging="360"/>
      </w:pPr>
      <w:rPr>
        <w:rFonts w:ascii="Times New Roman" w:hAnsi="Times New Roman" w:cs="Times New Roman" w:hint="default"/>
        <w:color w:val="auto"/>
        <w:sz w:val="22"/>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1">
    <w:nsid w:val="5A5D5ABF"/>
    <w:multiLevelType w:val="hybridMultilevel"/>
    <w:tmpl w:val="5A0A8EF0"/>
    <w:lvl w:ilvl="0" w:tplc="214A9326">
      <w:start w:val="1"/>
      <w:numFmt w:val="bullet"/>
      <w:lvlText w:val=""/>
      <w:lvlJc w:val="left"/>
      <w:pPr>
        <w:tabs>
          <w:tab w:val="num" w:pos="720"/>
        </w:tabs>
        <w:ind w:left="720" w:hanging="360"/>
      </w:pPr>
      <w:rPr>
        <w:rFonts w:ascii="Wingdings" w:hAnsi="Wingdings" w:hint="default"/>
      </w:rPr>
    </w:lvl>
    <w:lvl w:ilvl="1" w:tplc="95323BB8" w:tentative="1">
      <w:start w:val="1"/>
      <w:numFmt w:val="bullet"/>
      <w:lvlText w:val=""/>
      <w:lvlJc w:val="left"/>
      <w:pPr>
        <w:tabs>
          <w:tab w:val="num" w:pos="1440"/>
        </w:tabs>
        <w:ind w:left="1440" w:hanging="360"/>
      </w:pPr>
      <w:rPr>
        <w:rFonts w:ascii="Wingdings" w:hAnsi="Wingdings" w:hint="default"/>
      </w:rPr>
    </w:lvl>
    <w:lvl w:ilvl="2" w:tplc="56E062A4" w:tentative="1">
      <w:start w:val="1"/>
      <w:numFmt w:val="bullet"/>
      <w:lvlText w:val=""/>
      <w:lvlJc w:val="left"/>
      <w:pPr>
        <w:tabs>
          <w:tab w:val="num" w:pos="2160"/>
        </w:tabs>
        <w:ind w:left="2160" w:hanging="360"/>
      </w:pPr>
      <w:rPr>
        <w:rFonts w:ascii="Wingdings" w:hAnsi="Wingdings" w:hint="default"/>
      </w:rPr>
    </w:lvl>
    <w:lvl w:ilvl="3" w:tplc="AAC26BFC" w:tentative="1">
      <w:start w:val="1"/>
      <w:numFmt w:val="bullet"/>
      <w:lvlText w:val=""/>
      <w:lvlJc w:val="left"/>
      <w:pPr>
        <w:tabs>
          <w:tab w:val="num" w:pos="2880"/>
        </w:tabs>
        <w:ind w:left="2880" w:hanging="360"/>
      </w:pPr>
      <w:rPr>
        <w:rFonts w:ascii="Wingdings" w:hAnsi="Wingdings" w:hint="default"/>
      </w:rPr>
    </w:lvl>
    <w:lvl w:ilvl="4" w:tplc="0DAE1272" w:tentative="1">
      <w:start w:val="1"/>
      <w:numFmt w:val="bullet"/>
      <w:lvlText w:val=""/>
      <w:lvlJc w:val="left"/>
      <w:pPr>
        <w:tabs>
          <w:tab w:val="num" w:pos="3600"/>
        </w:tabs>
        <w:ind w:left="3600" w:hanging="360"/>
      </w:pPr>
      <w:rPr>
        <w:rFonts w:ascii="Wingdings" w:hAnsi="Wingdings" w:hint="default"/>
      </w:rPr>
    </w:lvl>
    <w:lvl w:ilvl="5" w:tplc="EDF6835A" w:tentative="1">
      <w:start w:val="1"/>
      <w:numFmt w:val="bullet"/>
      <w:lvlText w:val=""/>
      <w:lvlJc w:val="left"/>
      <w:pPr>
        <w:tabs>
          <w:tab w:val="num" w:pos="4320"/>
        </w:tabs>
        <w:ind w:left="4320" w:hanging="360"/>
      </w:pPr>
      <w:rPr>
        <w:rFonts w:ascii="Wingdings" w:hAnsi="Wingdings" w:hint="default"/>
      </w:rPr>
    </w:lvl>
    <w:lvl w:ilvl="6" w:tplc="8E6090E6" w:tentative="1">
      <w:start w:val="1"/>
      <w:numFmt w:val="bullet"/>
      <w:lvlText w:val=""/>
      <w:lvlJc w:val="left"/>
      <w:pPr>
        <w:tabs>
          <w:tab w:val="num" w:pos="5040"/>
        </w:tabs>
        <w:ind w:left="5040" w:hanging="360"/>
      </w:pPr>
      <w:rPr>
        <w:rFonts w:ascii="Wingdings" w:hAnsi="Wingdings" w:hint="default"/>
      </w:rPr>
    </w:lvl>
    <w:lvl w:ilvl="7" w:tplc="53D0E2C0" w:tentative="1">
      <w:start w:val="1"/>
      <w:numFmt w:val="bullet"/>
      <w:lvlText w:val=""/>
      <w:lvlJc w:val="left"/>
      <w:pPr>
        <w:tabs>
          <w:tab w:val="num" w:pos="5760"/>
        </w:tabs>
        <w:ind w:left="5760" w:hanging="360"/>
      </w:pPr>
      <w:rPr>
        <w:rFonts w:ascii="Wingdings" w:hAnsi="Wingdings" w:hint="default"/>
      </w:rPr>
    </w:lvl>
    <w:lvl w:ilvl="8" w:tplc="8D849E26" w:tentative="1">
      <w:start w:val="1"/>
      <w:numFmt w:val="bullet"/>
      <w:lvlText w:val=""/>
      <w:lvlJc w:val="left"/>
      <w:pPr>
        <w:tabs>
          <w:tab w:val="num" w:pos="6480"/>
        </w:tabs>
        <w:ind w:left="6480" w:hanging="360"/>
      </w:pPr>
      <w:rPr>
        <w:rFonts w:ascii="Wingdings" w:hAnsi="Wingdings" w:hint="default"/>
      </w:rPr>
    </w:lvl>
  </w:abstractNum>
  <w:abstractNum w:abstractNumId="62">
    <w:nsid w:val="5B1A2B8E"/>
    <w:multiLevelType w:val="singleLevel"/>
    <w:tmpl w:val="DAC68FDE"/>
    <w:lvl w:ilvl="0">
      <w:start w:val="1"/>
      <w:numFmt w:val="bullet"/>
      <w:lvlText w:val=""/>
      <w:lvlJc w:val="left"/>
      <w:pPr>
        <w:tabs>
          <w:tab w:val="num" w:pos="340"/>
        </w:tabs>
        <w:ind w:left="340" w:hanging="340"/>
      </w:pPr>
      <w:rPr>
        <w:rFonts w:ascii="Symbol" w:hAnsi="Symbol" w:hint="default"/>
        <w:color w:val="auto"/>
        <w:sz w:val="22"/>
      </w:rPr>
    </w:lvl>
  </w:abstractNum>
  <w:abstractNum w:abstractNumId="63">
    <w:nsid w:val="5BEF2BA5"/>
    <w:multiLevelType w:val="singleLevel"/>
    <w:tmpl w:val="382E9ACA"/>
    <w:lvl w:ilvl="0">
      <w:start w:val="1"/>
      <w:numFmt w:val="bullet"/>
      <w:lvlText w:val=""/>
      <w:lvlJc w:val="left"/>
      <w:pPr>
        <w:tabs>
          <w:tab w:val="num" w:pos="340"/>
        </w:tabs>
        <w:ind w:left="340" w:hanging="340"/>
      </w:pPr>
      <w:rPr>
        <w:rFonts w:ascii="Symbol" w:hAnsi="Symbol" w:hint="default"/>
        <w:color w:val="auto"/>
        <w:sz w:val="22"/>
      </w:rPr>
    </w:lvl>
  </w:abstractNum>
  <w:abstractNum w:abstractNumId="64">
    <w:nsid w:val="5CDB0431"/>
    <w:multiLevelType w:val="hybridMultilevel"/>
    <w:tmpl w:val="F5AEACCA"/>
    <w:lvl w:ilvl="0" w:tplc="7292C7F6">
      <w:start w:val="1"/>
      <w:numFmt w:val="bullet"/>
      <w:lvlText w:val=""/>
      <w:lvlJc w:val="left"/>
      <w:pPr>
        <w:tabs>
          <w:tab w:val="num" w:pos="720"/>
        </w:tabs>
        <w:ind w:left="720" w:hanging="360"/>
      </w:pPr>
      <w:rPr>
        <w:rFonts w:ascii="Wingdings" w:hAnsi="Wingdings" w:hint="default"/>
      </w:rPr>
    </w:lvl>
    <w:lvl w:ilvl="1" w:tplc="E1EA47E0" w:tentative="1">
      <w:start w:val="1"/>
      <w:numFmt w:val="bullet"/>
      <w:lvlText w:val=""/>
      <w:lvlJc w:val="left"/>
      <w:pPr>
        <w:tabs>
          <w:tab w:val="num" w:pos="1440"/>
        </w:tabs>
        <w:ind w:left="1440" w:hanging="360"/>
      </w:pPr>
      <w:rPr>
        <w:rFonts w:ascii="Wingdings" w:hAnsi="Wingdings" w:hint="default"/>
      </w:rPr>
    </w:lvl>
    <w:lvl w:ilvl="2" w:tplc="C97E7A44" w:tentative="1">
      <w:start w:val="1"/>
      <w:numFmt w:val="bullet"/>
      <w:lvlText w:val=""/>
      <w:lvlJc w:val="left"/>
      <w:pPr>
        <w:tabs>
          <w:tab w:val="num" w:pos="2160"/>
        </w:tabs>
        <w:ind w:left="2160" w:hanging="360"/>
      </w:pPr>
      <w:rPr>
        <w:rFonts w:ascii="Wingdings" w:hAnsi="Wingdings" w:hint="default"/>
      </w:rPr>
    </w:lvl>
    <w:lvl w:ilvl="3" w:tplc="0994EBD0" w:tentative="1">
      <w:start w:val="1"/>
      <w:numFmt w:val="bullet"/>
      <w:lvlText w:val=""/>
      <w:lvlJc w:val="left"/>
      <w:pPr>
        <w:tabs>
          <w:tab w:val="num" w:pos="2880"/>
        </w:tabs>
        <w:ind w:left="2880" w:hanging="360"/>
      </w:pPr>
      <w:rPr>
        <w:rFonts w:ascii="Wingdings" w:hAnsi="Wingdings" w:hint="default"/>
      </w:rPr>
    </w:lvl>
    <w:lvl w:ilvl="4" w:tplc="4A145804" w:tentative="1">
      <w:start w:val="1"/>
      <w:numFmt w:val="bullet"/>
      <w:lvlText w:val=""/>
      <w:lvlJc w:val="left"/>
      <w:pPr>
        <w:tabs>
          <w:tab w:val="num" w:pos="3600"/>
        </w:tabs>
        <w:ind w:left="3600" w:hanging="360"/>
      </w:pPr>
      <w:rPr>
        <w:rFonts w:ascii="Wingdings" w:hAnsi="Wingdings" w:hint="default"/>
      </w:rPr>
    </w:lvl>
    <w:lvl w:ilvl="5" w:tplc="1E065352" w:tentative="1">
      <w:start w:val="1"/>
      <w:numFmt w:val="bullet"/>
      <w:lvlText w:val=""/>
      <w:lvlJc w:val="left"/>
      <w:pPr>
        <w:tabs>
          <w:tab w:val="num" w:pos="4320"/>
        </w:tabs>
        <w:ind w:left="4320" w:hanging="360"/>
      </w:pPr>
      <w:rPr>
        <w:rFonts w:ascii="Wingdings" w:hAnsi="Wingdings" w:hint="default"/>
      </w:rPr>
    </w:lvl>
    <w:lvl w:ilvl="6" w:tplc="FB2A3420" w:tentative="1">
      <w:start w:val="1"/>
      <w:numFmt w:val="bullet"/>
      <w:lvlText w:val=""/>
      <w:lvlJc w:val="left"/>
      <w:pPr>
        <w:tabs>
          <w:tab w:val="num" w:pos="5040"/>
        </w:tabs>
        <w:ind w:left="5040" w:hanging="360"/>
      </w:pPr>
      <w:rPr>
        <w:rFonts w:ascii="Wingdings" w:hAnsi="Wingdings" w:hint="default"/>
      </w:rPr>
    </w:lvl>
    <w:lvl w:ilvl="7" w:tplc="1C5E8B32" w:tentative="1">
      <w:start w:val="1"/>
      <w:numFmt w:val="bullet"/>
      <w:lvlText w:val=""/>
      <w:lvlJc w:val="left"/>
      <w:pPr>
        <w:tabs>
          <w:tab w:val="num" w:pos="5760"/>
        </w:tabs>
        <w:ind w:left="5760" w:hanging="360"/>
      </w:pPr>
      <w:rPr>
        <w:rFonts w:ascii="Wingdings" w:hAnsi="Wingdings" w:hint="default"/>
      </w:rPr>
    </w:lvl>
    <w:lvl w:ilvl="8" w:tplc="5F68850E" w:tentative="1">
      <w:start w:val="1"/>
      <w:numFmt w:val="bullet"/>
      <w:lvlText w:val=""/>
      <w:lvlJc w:val="left"/>
      <w:pPr>
        <w:tabs>
          <w:tab w:val="num" w:pos="6480"/>
        </w:tabs>
        <w:ind w:left="6480" w:hanging="360"/>
      </w:pPr>
      <w:rPr>
        <w:rFonts w:ascii="Wingdings" w:hAnsi="Wingdings" w:hint="default"/>
      </w:rPr>
    </w:lvl>
  </w:abstractNum>
  <w:abstractNum w:abstractNumId="65">
    <w:nsid w:val="5CF02BF6"/>
    <w:multiLevelType w:val="hybridMultilevel"/>
    <w:tmpl w:val="4F746F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nsid w:val="612E7C57"/>
    <w:multiLevelType w:val="multilevel"/>
    <w:tmpl w:val="4998D916"/>
    <w:lvl w:ilvl="0">
      <w:start w:val="1"/>
      <w:numFmt w:val="decimal"/>
      <w:lvlText w:val="%1"/>
      <w:lvlJc w:val="left"/>
      <w:pPr>
        <w:tabs>
          <w:tab w:val="num" w:pos="340"/>
        </w:tabs>
        <w:ind w:left="340" w:hanging="340"/>
      </w:pPr>
      <w:rPr>
        <w:rFonts w:ascii="9999999" w:hAnsi="9999999" w:hint="default"/>
      </w:rPr>
    </w:lvl>
    <w:lvl w:ilvl="1">
      <w:start w:val="1"/>
      <w:numFmt w:val="bullet"/>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7">
    <w:nsid w:val="621341F3"/>
    <w:multiLevelType w:val="hybridMultilevel"/>
    <w:tmpl w:val="A62458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623C6A27"/>
    <w:multiLevelType w:val="singleLevel"/>
    <w:tmpl w:val="34EA8650"/>
    <w:lvl w:ilvl="0">
      <w:start w:val="1"/>
      <w:numFmt w:val="bullet"/>
      <w:lvlText w:val="−"/>
      <w:lvlJc w:val="left"/>
      <w:pPr>
        <w:ind w:left="360" w:hanging="360"/>
      </w:pPr>
      <w:rPr>
        <w:rFonts w:ascii="Times New Roman" w:hAnsi="Times New Roman" w:cs="Times New Roman" w:hint="default"/>
        <w:color w:val="auto"/>
        <w:sz w:val="22"/>
      </w:rPr>
    </w:lvl>
  </w:abstractNum>
  <w:abstractNum w:abstractNumId="69">
    <w:nsid w:val="62680792"/>
    <w:multiLevelType w:val="singleLevel"/>
    <w:tmpl w:val="6F64B6B8"/>
    <w:lvl w:ilvl="0">
      <w:start w:val="1"/>
      <w:numFmt w:val="bullet"/>
      <w:lvlText w:val=""/>
      <w:lvlJc w:val="left"/>
      <w:pPr>
        <w:tabs>
          <w:tab w:val="num" w:pos="340"/>
        </w:tabs>
        <w:ind w:left="340" w:hanging="340"/>
      </w:pPr>
      <w:rPr>
        <w:rFonts w:ascii="Symbol" w:hAnsi="Symbol" w:hint="default"/>
        <w:color w:val="92D050"/>
        <w:sz w:val="40"/>
        <w:szCs w:val="40"/>
      </w:rPr>
    </w:lvl>
  </w:abstractNum>
  <w:abstractNum w:abstractNumId="70">
    <w:nsid w:val="647C3007"/>
    <w:multiLevelType w:val="multilevel"/>
    <w:tmpl w:val="1488FCCC"/>
    <w:lvl w:ilvl="0">
      <w:start w:val="1"/>
      <w:numFmt w:val="decimal"/>
      <w:lvlText w:val="%1"/>
      <w:lvlJc w:val="left"/>
      <w:pPr>
        <w:tabs>
          <w:tab w:val="num" w:pos="34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66CA151B"/>
    <w:multiLevelType w:val="singleLevel"/>
    <w:tmpl w:val="A74C9D86"/>
    <w:lvl w:ilvl="0">
      <w:start w:val="1"/>
      <w:numFmt w:val="bullet"/>
      <w:lvlText w:val=""/>
      <w:lvlJc w:val="left"/>
      <w:pPr>
        <w:tabs>
          <w:tab w:val="num" w:pos="340"/>
        </w:tabs>
        <w:ind w:left="340" w:hanging="340"/>
      </w:pPr>
      <w:rPr>
        <w:rFonts w:ascii="Symbol" w:hAnsi="Symbol" w:hint="default"/>
        <w:color w:val="auto"/>
        <w:sz w:val="22"/>
      </w:rPr>
    </w:lvl>
  </w:abstractNum>
  <w:abstractNum w:abstractNumId="72">
    <w:nsid w:val="6C4030FF"/>
    <w:multiLevelType w:val="singleLevel"/>
    <w:tmpl w:val="E6E43430"/>
    <w:lvl w:ilvl="0">
      <w:start w:val="1"/>
      <w:numFmt w:val="bullet"/>
      <w:pStyle w:val="Listaconvietas2"/>
      <w:lvlText w:val="-"/>
      <w:lvlJc w:val="left"/>
      <w:pPr>
        <w:tabs>
          <w:tab w:val="num" w:pos="680"/>
        </w:tabs>
        <w:ind w:left="680" w:hanging="340"/>
      </w:pPr>
      <w:rPr>
        <w:rFonts w:ascii="Times New Roman" w:hAnsi="Times New Roman" w:hint="default"/>
      </w:rPr>
    </w:lvl>
  </w:abstractNum>
  <w:abstractNum w:abstractNumId="73">
    <w:nsid w:val="6D3C6BA0"/>
    <w:multiLevelType w:val="hybridMultilevel"/>
    <w:tmpl w:val="08FE3D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6D9A7467"/>
    <w:multiLevelType w:val="singleLevel"/>
    <w:tmpl w:val="C1985AD4"/>
    <w:lvl w:ilvl="0">
      <w:start w:val="1"/>
      <w:numFmt w:val="bullet"/>
      <w:lvlText w:val=""/>
      <w:lvlJc w:val="left"/>
      <w:pPr>
        <w:tabs>
          <w:tab w:val="num" w:pos="340"/>
        </w:tabs>
        <w:ind w:left="340" w:hanging="340"/>
      </w:pPr>
      <w:rPr>
        <w:rFonts w:ascii="Symbol" w:hAnsi="Symbol" w:hint="default"/>
        <w:color w:val="auto"/>
        <w:sz w:val="22"/>
      </w:rPr>
    </w:lvl>
  </w:abstractNum>
  <w:abstractNum w:abstractNumId="75">
    <w:nsid w:val="6E9467A4"/>
    <w:multiLevelType w:val="singleLevel"/>
    <w:tmpl w:val="D2882892"/>
    <w:lvl w:ilvl="0">
      <w:start w:val="1"/>
      <w:numFmt w:val="bullet"/>
      <w:lvlText w:val=""/>
      <w:lvlJc w:val="left"/>
      <w:pPr>
        <w:tabs>
          <w:tab w:val="num" w:pos="340"/>
        </w:tabs>
        <w:ind w:left="340" w:hanging="340"/>
      </w:pPr>
      <w:rPr>
        <w:rFonts w:ascii="Symbol" w:hAnsi="Symbol" w:hint="default"/>
        <w:color w:val="auto"/>
        <w:sz w:val="22"/>
      </w:rPr>
    </w:lvl>
  </w:abstractNum>
  <w:abstractNum w:abstractNumId="76">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nsid w:val="7A875AB9"/>
    <w:multiLevelType w:val="singleLevel"/>
    <w:tmpl w:val="9E361E4E"/>
    <w:lvl w:ilvl="0">
      <w:start w:val="1"/>
      <w:numFmt w:val="bullet"/>
      <w:lvlText w:val=""/>
      <w:lvlJc w:val="left"/>
      <w:pPr>
        <w:tabs>
          <w:tab w:val="num" w:pos="340"/>
        </w:tabs>
        <w:ind w:left="340" w:hanging="340"/>
      </w:pPr>
      <w:rPr>
        <w:rFonts w:ascii="Symbol" w:hAnsi="Symbol" w:hint="default"/>
        <w:color w:val="auto"/>
        <w:sz w:val="22"/>
      </w:rPr>
    </w:lvl>
  </w:abstractNum>
  <w:abstractNum w:abstractNumId="78">
    <w:nsid w:val="7C9951CF"/>
    <w:multiLevelType w:val="singleLevel"/>
    <w:tmpl w:val="2FD8D160"/>
    <w:lvl w:ilvl="0">
      <w:start w:val="1"/>
      <w:numFmt w:val="bullet"/>
      <w:lvlText w:val=""/>
      <w:lvlJc w:val="left"/>
      <w:pPr>
        <w:tabs>
          <w:tab w:val="num" w:pos="340"/>
        </w:tabs>
        <w:ind w:left="340" w:hanging="340"/>
      </w:pPr>
      <w:rPr>
        <w:rFonts w:ascii="Symbol" w:hAnsi="Symbol" w:hint="default"/>
        <w:color w:val="auto"/>
        <w:sz w:val="22"/>
      </w:rPr>
    </w:lvl>
  </w:abstractNum>
  <w:abstractNum w:abstractNumId="79">
    <w:nsid w:val="7F34554E"/>
    <w:multiLevelType w:val="multilevel"/>
    <w:tmpl w:val="70A86B60"/>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8"/>
  </w:num>
  <w:num w:numId="2">
    <w:abstractNumId w:val="72"/>
  </w:num>
  <w:num w:numId="3">
    <w:abstractNumId w:val="13"/>
  </w:num>
  <w:num w:numId="4">
    <w:abstractNumId w:val="40"/>
  </w:num>
  <w:num w:numId="5">
    <w:abstractNumId w:val="76"/>
  </w:num>
  <w:num w:numId="6">
    <w:abstractNumId w:val="6"/>
  </w:num>
  <w:num w:numId="7">
    <w:abstractNumId w:val="6"/>
  </w:num>
  <w:num w:numId="8">
    <w:abstractNumId w:val="5"/>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25"/>
  </w:num>
  <w:num w:numId="17">
    <w:abstractNumId w:val="66"/>
  </w:num>
  <w:num w:numId="18">
    <w:abstractNumId w:val="15"/>
  </w:num>
  <w:num w:numId="19">
    <w:abstractNumId w:val="53"/>
  </w:num>
  <w:num w:numId="20">
    <w:abstractNumId w:val="34"/>
  </w:num>
  <w:num w:numId="21">
    <w:abstractNumId w:val="38"/>
  </w:num>
  <w:num w:numId="22">
    <w:abstractNumId w:val="39"/>
  </w:num>
  <w:num w:numId="23">
    <w:abstractNumId w:val="70"/>
  </w:num>
  <w:num w:numId="24">
    <w:abstractNumId w:val="79"/>
  </w:num>
  <w:num w:numId="25">
    <w:abstractNumId w:val="13"/>
  </w:num>
  <w:num w:numId="26">
    <w:abstractNumId w:val="13"/>
  </w:num>
  <w:num w:numId="27">
    <w:abstractNumId w:val="35"/>
  </w:num>
  <w:num w:numId="28">
    <w:abstractNumId w:val="10"/>
  </w:num>
  <w:num w:numId="29">
    <w:abstractNumId w:val="33"/>
  </w:num>
  <w:num w:numId="30">
    <w:abstractNumId w:val="50"/>
  </w:num>
  <w:num w:numId="31">
    <w:abstractNumId w:val="74"/>
  </w:num>
  <w:num w:numId="32">
    <w:abstractNumId w:val="41"/>
  </w:num>
  <w:num w:numId="33">
    <w:abstractNumId w:val="11"/>
  </w:num>
  <w:num w:numId="34">
    <w:abstractNumId w:val="58"/>
  </w:num>
  <w:num w:numId="35">
    <w:abstractNumId w:val="16"/>
  </w:num>
  <w:num w:numId="36">
    <w:abstractNumId w:val="45"/>
  </w:num>
  <w:num w:numId="37">
    <w:abstractNumId w:val="63"/>
  </w:num>
  <w:num w:numId="38">
    <w:abstractNumId w:val="14"/>
  </w:num>
  <w:num w:numId="39">
    <w:abstractNumId w:val="18"/>
  </w:num>
  <w:num w:numId="40">
    <w:abstractNumId w:val="59"/>
  </w:num>
  <w:num w:numId="41">
    <w:abstractNumId w:val="29"/>
  </w:num>
  <w:num w:numId="42">
    <w:abstractNumId w:val="22"/>
  </w:num>
  <w:num w:numId="43">
    <w:abstractNumId w:val="78"/>
  </w:num>
  <w:num w:numId="44">
    <w:abstractNumId w:val="75"/>
  </w:num>
  <w:num w:numId="45">
    <w:abstractNumId w:val="57"/>
  </w:num>
  <w:num w:numId="46">
    <w:abstractNumId w:val="65"/>
  </w:num>
  <w:num w:numId="47">
    <w:abstractNumId w:val="67"/>
  </w:num>
  <w:num w:numId="48">
    <w:abstractNumId w:val="68"/>
  </w:num>
  <w:num w:numId="49">
    <w:abstractNumId w:val="77"/>
  </w:num>
  <w:num w:numId="50">
    <w:abstractNumId w:val="62"/>
  </w:num>
  <w:num w:numId="51">
    <w:abstractNumId w:val="71"/>
  </w:num>
  <w:num w:numId="52">
    <w:abstractNumId w:val="55"/>
  </w:num>
  <w:num w:numId="53">
    <w:abstractNumId w:val="42"/>
  </w:num>
  <w:num w:numId="54">
    <w:abstractNumId w:val="46"/>
  </w:num>
  <w:num w:numId="55">
    <w:abstractNumId w:val="12"/>
  </w:num>
  <w:num w:numId="56">
    <w:abstractNumId w:val="56"/>
  </w:num>
  <w:num w:numId="57">
    <w:abstractNumId w:val="19"/>
  </w:num>
  <w:num w:numId="58">
    <w:abstractNumId w:val="26"/>
  </w:num>
  <w:num w:numId="59">
    <w:abstractNumId w:val="47"/>
  </w:num>
  <w:num w:numId="60">
    <w:abstractNumId w:val="48"/>
  </w:num>
  <w:num w:numId="61">
    <w:abstractNumId w:val="20"/>
  </w:num>
  <w:num w:numId="62">
    <w:abstractNumId w:val="27"/>
  </w:num>
  <w:num w:numId="63">
    <w:abstractNumId w:val="49"/>
  </w:num>
  <w:num w:numId="64">
    <w:abstractNumId w:val="24"/>
  </w:num>
  <w:num w:numId="65">
    <w:abstractNumId w:val="37"/>
  </w:num>
  <w:num w:numId="66">
    <w:abstractNumId w:val="52"/>
  </w:num>
  <w:num w:numId="67">
    <w:abstractNumId w:val="60"/>
  </w:num>
  <w:num w:numId="68">
    <w:abstractNumId w:val="51"/>
  </w:num>
  <w:num w:numId="69">
    <w:abstractNumId w:val="31"/>
  </w:num>
  <w:num w:numId="70">
    <w:abstractNumId w:val="54"/>
  </w:num>
  <w:num w:numId="71">
    <w:abstractNumId w:val="69"/>
  </w:num>
  <w:num w:numId="72">
    <w:abstractNumId w:val="32"/>
  </w:num>
  <w:num w:numId="73">
    <w:abstractNumId w:val="21"/>
  </w:num>
  <w:num w:numId="74">
    <w:abstractNumId w:val="9"/>
  </w:num>
  <w:num w:numId="75">
    <w:abstractNumId w:val="44"/>
  </w:num>
  <w:num w:numId="76">
    <w:abstractNumId w:val="17"/>
  </w:num>
  <w:num w:numId="77">
    <w:abstractNumId w:val="73"/>
  </w:num>
  <w:num w:numId="78">
    <w:abstractNumId w:val="28"/>
  </w:num>
  <w:num w:numId="79">
    <w:abstractNumId w:val="36"/>
  </w:num>
  <w:num w:numId="80">
    <w:abstractNumId w:val="61"/>
  </w:num>
  <w:num w:numId="81">
    <w:abstractNumId w:val="64"/>
  </w:num>
  <w:num w:numId="82">
    <w:abstractNumId w:val="40"/>
  </w:num>
  <w:num w:numId="83">
    <w:abstractNumId w:val="30"/>
  </w:num>
  <w:num w:numId="84">
    <w:abstractNumId w:val="23"/>
  </w:num>
  <w:num w:numId="85">
    <w:abstractNumId w:val="43"/>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doNotTrackMoves/>
  <w:doNotTrackFormatting/>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23"/>
    <o:shapelayout v:ext="edit">
      <o:idmap v:ext="edit" data="30"/>
    </o:shapelayout>
  </w:hdrShapeDefaults>
  <w:footnotePr>
    <w:footnote w:id="-1"/>
    <w:footnote w:id="0"/>
  </w:footnotePr>
  <w:endnotePr>
    <w:endnote w:id="-1"/>
    <w:endnote w:id="0"/>
  </w:endnotePr>
  <w:compat/>
  <w:docVars>
    <w:docVar w:name="FirmName" w:val="KPMG Asesores S.L. - Español"/>
    <w:docVar w:name="KISDocType" w:val="Report"/>
    <w:docVar w:name="KISVer" w:val="3.0"/>
    <w:docVar w:name="Num3Paras" w:val="No"/>
    <w:docVar w:name="OffIndex" w:val=" 7"/>
    <w:docVar w:name="OffName" w:val="Madrid (Aud/Abog/Adv/S.A./Fundación)"/>
    <w:docVar w:name="Orientation" w:val="Portrait"/>
    <w:docVar w:name="ReptStyle" w:val=" 0"/>
  </w:docVars>
  <w:rsids>
    <w:rsidRoot w:val="007253D2"/>
    <w:rsid w:val="0000186C"/>
    <w:rsid w:val="00003AB2"/>
    <w:rsid w:val="000043AC"/>
    <w:rsid w:val="00004A3E"/>
    <w:rsid w:val="00007982"/>
    <w:rsid w:val="000110BE"/>
    <w:rsid w:val="00016093"/>
    <w:rsid w:val="0001621C"/>
    <w:rsid w:val="00020B3D"/>
    <w:rsid w:val="00030645"/>
    <w:rsid w:val="00030871"/>
    <w:rsid w:val="00031A5E"/>
    <w:rsid w:val="0003321D"/>
    <w:rsid w:val="00042541"/>
    <w:rsid w:val="00042E5F"/>
    <w:rsid w:val="000459A8"/>
    <w:rsid w:val="0004647F"/>
    <w:rsid w:val="00046EC0"/>
    <w:rsid w:val="00051665"/>
    <w:rsid w:val="00052055"/>
    <w:rsid w:val="00064223"/>
    <w:rsid w:val="00065299"/>
    <w:rsid w:val="000667E7"/>
    <w:rsid w:val="000701FC"/>
    <w:rsid w:val="00071E31"/>
    <w:rsid w:val="00073BA7"/>
    <w:rsid w:val="0007595B"/>
    <w:rsid w:val="0007598C"/>
    <w:rsid w:val="0008011E"/>
    <w:rsid w:val="000822EF"/>
    <w:rsid w:val="000837D0"/>
    <w:rsid w:val="00084B6F"/>
    <w:rsid w:val="00085598"/>
    <w:rsid w:val="00087FEE"/>
    <w:rsid w:val="000925B2"/>
    <w:rsid w:val="000944EB"/>
    <w:rsid w:val="00094CCD"/>
    <w:rsid w:val="00094FAB"/>
    <w:rsid w:val="000972D2"/>
    <w:rsid w:val="000A27D2"/>
    <w:rsid w:val="000A347A"/>
    <w:rsid w:val="000A3C2A"/>
    <w:rsid w:val="000B5B8B"/>
    <w:rsid w:val="000B7956"/>
    <w:rsid w:val="000C0B67"/>
    <w:rsid w:val="000C28DE"/>
    <w:rsid w:val="000C3A0C"/>
    <w:rsid w:val="000C4D06"/>
    <w:rsid w:val="000D0539"/>
    <w:rsid w:val="000D0BE4"/>
    <w:rsid w:val="000D19EB"/>
    <w:rsid w:val="000D4030"/>
    <w:rsid w:val="000D530F"/>
    <w:rsid w:val="000D643E"/>
    <w:rsid w:val="000D7E0A"/>
    <w:rsid w:val="000E0A30"/>
    <w:rsid w:val="000E0BB9"/>
    <w:rsid w:val="000E5032"/>
    <w:rsid w:val="000E5330"/>
    <w:rsid w:val="000E5B5B"/>
    <w:rsid w:val="000E6836"/>
    <w:rsid w:val="000F14B9"/>
    <w:rsid w:val="000F2827"/>
    <w:rsid w:val="000F2C9E"/>
    <w:rsid w:val="000F7F9B"/>
    <w:rsid w:val="00100588"/>
    <w:rsid w:val="0010410B"/>
    <w:rsid w:val="00105028"/>
    <w:rsid w:val="0010728C"/>
    <w:rsid w:val="00107DCD"/>
    <w:rsid w:val="00113A57"/>
    <w:rsid w:val="00114223"/>
    <w:rsid w:val="00121BCD"/>
    <w:rsid w:val="00137034"/>
    <w:rsid w:val="00141260"/>
    <w:rsid w:val="00141941"/>
    <w:rsid w:val="00141AA5"/>
    <w:rsid w:val="0014708E"/>
    <w:rsid w:val="00152266"/>
    <w:rsid w:val="00153759"/>
    <w:rsid w:val="001548BD"/>
    <w:rsid w:val="001555F6"/>
    <w:rsid w:val="0015731B"/>
    <w:rsid w:val="00161F0E"/>
    <w:rsid w:val="00163CD7"/>
    <w:rsid w:val="001728E5"/>
    <w:rsid w:val="0017473A"/>
    <w:rsid w:val="00175E09"/>
    <w:rsid w:val="00175EE9"/>
    <w:rsid w:val="0018044B"/>
    <w:rsid w:val="001863A6"/>
    <w:rsid w:val="001A3DAC"/>
    <w:rsid w:val="001A78F4"/>
    <w:rsid w:val="001B4ABD"/>
    <w:rsid w:val="001B741A"/>
    <w:rsid w:val="001C035C"/>
    <w:rsid w:val="001C1AB7"/>
    <w:rsid w:val="001C27DC"/>
    <w:rsid w:val="001C44AD"/>
    <w:rsid w:val="001C49E5"/>
    <w:rsid w:val="001C6D07"/>
    <w:rsid w:val="001D1AE6"/>
    <w:rsid w:val="001D1FD0"/>
    <w:rsid w:val="001D31B9"/>
    <w:rsid w:val="001D3655"/>
    <w:rsid w:val="001D478E"/>
    <w:rsid w:val="001D5F1C"/>
    <w:rsid w:val="001D632D"/>
    <w:rsid w:val="001D6F6F"/>
    <w:rsid w:val="001E1143"/>
    <w:rsid w:val="001E1403"/>
    <w:rsid w:val="001E3C30"/>
    <w:rsid w:val="001E4CE6"/>
    <w:rsid w:val="001E5A5C"/>
    <w:rsid w:val="001E5B33"/>
    <w:rsid w:val="001E5F8A"/>
    <w:rsid w:val="001E6BD5"/>
    <w:rsid w:val="001F1626"/>
    <w:rsid w:val="001F25C6"/>
    <w:rsid w:val="001F37D8"/>
    <w:rsid w:val="001F579F"/>
    <w:rsid w:val="001F5D85"/>
    <w:rsid w:val="001F7AB3"/>
    <w:rsid w:val="00210FBF"/>
    <w:rsid w:val="002161A2"/>
    <w:rsid w:val="00217F4D"/>
    <w:rsid w:val="002217FF"/>
    <w:rsid w:val="002225DC"/>
    <w:rsid w:val="00222CDD"/>
    <w:rsid w:val="0022788E"/>
    <w:rsid w:val="00230A9B"/>
    <w:rsid w:val="00230DC5"/>
    <w:rsid w:val="002329D9"/>
    <w:rsid w:val="00233D46"/>
    <w:rsid w:val="002353BF"/>
    <w:rsid w:val="002403F6"/>
    <w:rsid w:val="00241CBA"/>
    <w:rsid w:val="00241F75"/>
    <w:rsid w:val="00252C1E"/>
    <w:rsid w:val="00253262"/>
    <w:rsid w:val="002544D2"/>
    <w:rsid w:val="00260A43"/>
    <w:rsid w:val="00261043"/>
    <w:rsid w:val="00262010"/>
    <w:rsid w:val="0026330D"/>
    <w:rsid w:val="00263316"/>
    <w:rsid w:val="00263C76"/>
    <w:rsid w:val="00265395"/>
    <w:rsid w:val="00267483"/>
    <w:rsid w:val="00275301"/>
    <w:rsid w:val="00276E21"/>
    <w:rsid w:val="00281AE8"/>
    <w:rsid w:val="00282B3B"/>
    <w:rsid w:val="00283233"/>
    <w:rsid w:val="002862C5"/>
    <w:rsid w:val="00291333"/>
    <w:rsid w:val="002955EE"/>
    <w:rsid w:val="00295B5D"/>
    <w:rsid w:val="00295E77"/>
    <w:rsid w:val="0029616D"/>
    <w:rsid w:val="00296DE8"/>
    <w:rsid w:val="002A54F6"/>
    <w:rsid w:val="002A55FD"/>
    <w:rsid w:val="002A7DAE"/>
    <w:rsid w:val="002C4599"/>
    <w:rsid w:val="002C4D7D"/>
    <w:rsid w:val="002C59ED"/>
    <w:rsid w:val="002C7281"/>
    <w:rsid w:val="002D09DB"/>
    <w:rsid w:val="002D281A"/>
    <w:rsid w:val="002D459C"/>
    <w:rsid w:val="002D6856"/>
    <w:rsid w:val="002D7174"/>
    <w:rsid w:val="002E0102"/>
    <w:rsid w:val="002E0310"/>
    <w:rsid w:val="002E3C73"/>
    <w:rsid w:val="002E598E"/>
    <w:rsid w:val="00300729"/>
    <w:rsid w:val="00300EB9"/>
    <w:rsid w:val="00301D39"/>
    <w:rsid w:val="00304B1B"/>
    <w:rsid w:val="00305796"/>
    <w:rsid w:val="003115C3"/>
    <w:rsid w:val="003120BD"/>
    <w:rsid w:val="00312ED5"/>
    <w:rsid w:val="00316DE4"/>
    <w:rsid w:val="00317D14"/>
    <w:rsid w:val="00320A1B"/>
    <w:rsid w:val="00320C35"/>
    <w:rsid w:val="00321899"/>
    <w:rsid w:val="00322418"/>
    <w:rsid w:val="00323C7E"/>
    <w:rsid w:val="00326166"/>
    <w:rsid w:val="003324A5"/>
    <w:rsid w:val="00332727"/>
    <w:rsid w:val="00336EE3"/>
    <w:rsid w:val="00344521"/>
    <w:rsid w:val="00344991"/>
    <w:rsid w:val="003458F7"/>
    <w:rsid w:val="00346575"/>
    <w:rsid w:val="00352FE5"/>
    <w:rsid w:val="00355237"/>
    <w:rsid w:val="0036088A"/>
    <w:rsid w:val="00360C30"/>
    <w:rsid w:val="00362D3A"/>
    <w:rsid w:val="003654E5"/>
    <w:rsid w:val="00365F00"/>
    <w:rsid w:val="003714CD"/>
    <w:rsid w:val="00374404"/>
    <w:rsid w:val="00374987"/>
    <w:rsid w:val="003807B4"/>
    <w:rsid w:val="00381B1F"/>
    <w:rsid w:val="00381D6A"/>
    <w:rsid w:val="00382B72"/>
    <w:rsid w:val="00383A94"/>
    <w:rsid w:val="00384394"/>
    <w:rsid w:val="003858D1"/>
    <w:rsid w:val="003919ED"/>
    <w:rsid w:val="003959C3"/>
    <w:rsid w:val="00396F1E"/>
    <w:rsid w:val="003A0A02"/>
    <w:rsid w:val="003A12E7"/>
    <w:rsid w:val="003A3348"/>
    <w:rsid w:val="003A3ABD"/>
    <w:rsid w:val="003A43F6"/>
    <w:rsid w:val="003A5D7D"/>
    <w:rsid w:val="003A6163"/>
    <w:rsid w:val="003A6CDB"/>
    <w:rsid w:val="003A711A"/>
    <w:rsid w:val="003A736A"/>
    <w:rsid w:val="003A7636"/>
    <w:rsid w:val="003A76A8"/>
    <w:rsid w:val="003A7D46"/>
    <w:rsid w:val="003B48AE"/>
    <w:rsid w:val="003C0DEC"/>
    <w:rsid w:val="003C2AB6"/>
    <w:rsid w:val="003C48DF"/>
    <w:rsid w:val="003C4DD0"/>
    <w:rsid w:val="003C5CAF"/>
    <w:rsid w:val="003C76A5"/>
    <w:rsid w:val="003D0B8A"/>
    <w:rsid w:val="003D0CFB"/>
    <w:rsid w:val="003D356E"/>
    <w:rsid w:val="003D3D5B"/>
    <w:rsid w:val="003D6D08"/>
    <w:rsid w:val="003E4FED"/>
    <w:rsid w:val="003E5553"/>
    <w:rsid w:val="003E7EE8"/>
    <w:rsid w:val="003F21F7"/>
    <w:rsid w:val="003F6E69"/>
    <w:rsid w:val="0041261F"/>
    <w:rsid w:val="00412FF3"/>
    <w:rsid w:val="00413BB0"/>
    <w:rsid w:val="004142CA"/>
    <w:rsid w:val="00415212"/>
    <w:rsid w:val="0041661D"/>
    <w:rsid w:val="00417E5D"/>
    <w:rsid w:val="00423C65"/>
    <w:rsid w:val="0042411F"/>
    <w:rsid w:val="0042498F"/>
    <w:rsid w:val="00425640"/>
    <w:rsid w:val="00426305"/>
    <w:rsid w:val="00426F14"/>
    <w:rsid w:val="00430266"/>
    <w:rsid w:val="0043430A"/>
    <w:rsid w:val="00441D45"/>
    <w:rsid w:val="00445DF8"/>
    <w:rsid w:val="00446110"/>
    <w:rsid w:val="004464EF"/>
    <w:rsid w:val="00446C2B"/>
    <w:rsid w:val="00447330"/>
    <w:rsid w:val="0045063C"/>
    <w:rsid w:val="0045203B"/>
    <w:rsid w:val="00453ED8"/>
    <w:rsid w:val="00470081"/>
    <w:rsid w:val="004725D7"/>
    <w:rsid w:val="004739E0"/>
    <w:rsid w:val="0047529A"/>
    <w:rsid w:val="004766BA"/>
    <w:rsid w:val="00476FAF"/>
    <w:rsid w:val="004771F6"/>
    <w:rsid w:val="00480ECD"/>
    <w:rsid w:val="00483043"/>
    <w:rsid w:val="00487007"/>
    <w:rsid w:val="00491229"/>
    <w:rsid w:val="0049289D"/>
    <w:rsid w:val="00493C92"/>
    <w:rsid w:val="004A0A6A"/>
    <w:rsid w:val="004A39A4"/>
    <w:rsid w:val="004A4652"/>
    <w:rsid w:val="004A4CA4"/>
    <w:rsid w:val="004A6F72"/>
    <w:rsid w:val="004A72AD"/>
    <w:rsid w:val="004A7B55"/>
    <w:rsid w:val="004B010B"/>
    <w:rsid w:val="004B0226"/>
    <w:rsid w:val="004B21D0"/>
    <w:rsid w:val="004B48CA"/>
    <w:rsid w:val="004C32EC"/>
    <w:rsid w:val="004C4B8C"/>
    <w:rsid w:val="004D1BE4"/>
    <w:rsid w:val="004D1EC8"/>
    <w:rsid w:val="004D33ED"/>
    <w:rsid w:val="004E1768"/>
    <w:rsid w:val="004E2C35"/>
    <w:rsid w:val="004E6459"/>
    <w:rsid w:val="004E6D08"/>
    <w:rsid w:val="004F0F4D"/>
    <w:rsid w:val="004F1B3C"/>
    <w:rsid w:val="004F1BE9"/>
    <w:rsid w:val="004F3E33"/>
    <w:rsid w:val="004F4483"/>
    <w:rsid w:val="004F5467"/>
    <w:rsid w:val="00502912"/>
    <w:rsid w:val="0050322E"/>
    <w:rsid w:val="005058DC"/>
    <w:rsid w:val="005077D1"/>
    <w:rsid w:val="005108D2"/>
    <w:rsid w:val="0051716C"/>
    <w:rsid w:val="00517A82"/>
    <w:rsid w:val="005217FE"/>
    <w:rsid w:val="005235D3"/>
    <w:rsid w:val="00523964"/>
    <w:rsid w:val="0052620F"/>
    <w:rsid w:val="00526E5A"/>
    <w:rsid w:val="005301FA"/>
    <w:rsid w:val="005314FA"/>
    <w:rsid w:val="00536563"/>
    <w:rsid w:val="0054206A"/>
    <w:rsid w:val="0054286A"/>
    <w:rsid w:val="00545D72"/>
    <w:rsid w:val="00550BF4"/>
    <w:rsid w:val="0055198A"/>
    <w:rsid w:val="00553CF0"/>
    <w:rsid w:val="00556455"/>
    <w:rsid w:val="005573EA"/>
    <w:rsid w:val="00576EED"/>
    <w:rsid w:val="00581504"/>
    <w:rsid w:val="00583A54"/>
    <w:rsid w:val="0058429F"/>
    <w:rsid w:val="0058544F"/>
    <w:rsid w:val="005856EB"/>
    <w:rsid w:val="00585D05"/>
    <w:rsid w:val="005867D3"/>
    <w:rsid w:val="00590F28"/>
    <w:rsid w:val="00592005"/>
    <w:rsid w:val="00594101"/>
    <w:rsid w:val="00595488"/>
    <w:rsid w:val="005A10B4"/>
    <w:rsid w:val="005A438B"/>
    <w:rsid w:val="005A76C3"/>
    <w:rsid w:val="005B00E1"/>
    <w:rsid w:val="005B249D"/>
    <w:rsid w:val="005B2F3D"/>
    <w:rsid w:val="005B4F56"/>
    <w:rsid w:val="005C7E24"/>
    <w:rsid w:val="005D286B"/>
    <w:rsid w:val="005D4E35"/>
    <w:rsid w:val="005D74B6"/>
    <w:rsid w:val="005E3BDB"/>
    <w:rsid w:val="005E5A92"/>
    <w:rsid w:val="005E7537"/>
    <w:rsid w:val="005F18CB"/>
    <w:rsid w:val="005F258D"/>
    <w:rsid w:val="005F2D24"/>
    <w:rsid w:val="005F3629"/>
    <w:rsid w:val="005F4276"/>
    <w:rsid w:val="005F7BB9"/>
    <w:rsid w:val="006008DB"/>
    <w:rsid w:val="00604B3D"/>
    <w:rsid w:val="00606630"/>
    <w:rsid w:val="00606984"/>
    <w:rsid w:val="00612017"/>
    <w:rsid w:val="0061275E"/>
    <w:rsid w:val="00614DA5"/>
    <w:rsid w:val="00615612"/>
    <w:rsid w:val="006172DF"/>
    <w:rsid w:val="0062021D"/>
    <w:rsid w:val="00620BF5"/>
    <w:rsid w:val="00622BE6"/>
    <w:rsid w:val="0062391D"/>
    <w:rsid w:val="006279AB"/>
    <w:rsid w:val="00632463"/>
    <w:rsid w:val="00637B07"/>
    <w:rsid w:val="006404EC"/>
    <w:rsid w:val="00640BE5"/>
    <w:rsid w:val="00645CE5"/>
    <w:rsid w:val="00646F64"/>
    <w:rsid w:val="00651308"/>
    <w:rsid w:val="00652665"/>
    <w:rsid w:val="0065338E"/>
    <w:rsid w:val="00653653"/>
    <w:rsid w:val="006610C0"/>
    <w:rsid w:val="0066132E"/>
    <w:rsid w:val="00661818"/>
    <w:rsid w:val="0066777E"/>
    <w:rsid w:val="006710F8"/>
    <w:rsid w:val="0067210F"/>
    <w:rsid w:val="00674856"/>
    <w:rsid w:val="00676D80"/>
    <w:rsid w:val="006814BD"/>
    <w:rsid w:val="0068703A"/>
    <w:rsid w:val="006919D3"/>
    <w:rsid w:val="00695989"/>
    <w:rsid w:val="00695F1A"/>
    <w:rsid w:val="006962D7"/>
    <w:rsid w:val="006A196D"/>
    <w:rsid w:val="006A1FF1"/>
    <w:rsid w:val="006A2543"/>
    <w:rsid w:val="006A390C"/>
    <w:rsid w:val="006A42A8"/>
    <w:rsid w:val="006A5802"/>
    <w:rsid w:val="006A6771"/>
    <w:rsid w:val="006A67EA"/>
    <w:rsid w:val="006B5433"/>
    <w:rsid w:val="006B560E"/>
    <w:rsid w:val="006B5DE5"/>
    <w:rsid w:val="006B6C01"/>
    <w:rsid w:val="006B7028"/>
    <w:rsid w:val="006B79F2"/>
    <w:rsid w:val="006C0222"/>
    <w:rsid w:val="006C1B14"/>
    <w:rsid w:val="006C4128"/>
    <w:rsid w:val="006C4FB9"/>
    <w:rsid w:val="006C7A8A"/>
    <w:rsid w:val="006D35DD"/>
    <w:rsid w:val="006D4BBC"/>
    <w:rsid w:val="006D57BA"/>
    <w:rsid w:val="006E0BF3"/>
    <w:rsid w:val="006F51AE"/>
    <w:rsid w:val="006F7A99"/>
    <w:rsid w:val="00700938"/>
    <w:rsid w:val="00702A03"/>
    <w:rsid w:val="007108D2"/>
    <w:rsid w:val="00713D81"/>
    <w:rsid w:val="007161A9"/>
    <w:rsid w:val="00716ED3"/>
    <w:rsid w:val="00717829"/>
    <w:rsid w:val="007205AC"/>
    <w:rsid w:val="00720BE5"/>
    <w:rsid w:val="0072245E"/>
    <w:rsid w:val="00722796"/>
    <w:rsid w:val="00724BF8"/>
    <w:rsid w:val="007253D2"/>
    <w:rsid w:val="00730902"/>
    <w:rsid w:val="00731C48"/>
    <w:rsid w:val="007359BF"/>
    <w:rsid w:val="00737B3F"/>
    <w:rsid w:val="0074176D"/>
    <w:rsid w:val="00743115"/>
    <w:rsid w:val="007539FA"/>
    <w:rsid w:val="007550FD"/>
    <w:rsid w:val="007559ED"/>
    <w:rsid w:val="00756E90"/>
    <w:rsid w:val="0075761C"/>
    <w:rsid w:val="007627DD"/>
    <w:rsid w:val="00766C51"/>
    <w:rsid w:val="00767E89"/>
    <w:rsid w:val="00770EB9"/>
    <w:rsid w:val="0077198A"/>
    <w:rsid w:val="007751C0"/>
    <w:rsid w:val="00780D1B"/>
    <w:rsid w:val="00783060"/>
    <w:rsid w:val="00783DD8"/>
    <w:rsid w:val="00783F04"/>
    <w:rsid w:val="0078573A"/>
    <w:rsid w:val="007934BA"/>
    <w:rsid w:val="007A2ABF"/>
    <w:rsid w:val="007A2F64"/>
    <w:rsid w:val="007A3746"/>
    <w:rsid w:val="007A4608"/>
    <w:rsid w:val="007B3767"/>
    <w:rsid w:val="007B5C61"/>
    <w:rsid w:val="007C068B"/>
    <w:rsid w:val="007C33E4"/>
    <w:rsid w:val="007C37D5"/>
    <w:rsid w:val="007C5D06"/>
    <w:rsid w:val="007C7FDF"/>
    <w:rsid w:val="007D11EC"/>
    <w:rsid w:val="007D37E6"/>
    <w:rsid w:val="007D4800"/>
    <w:rsid w:val="007E098D"/>
    <w:rsid w:val="007E1685"/>
    <w:rsid w:val="007E210B"/>
    <w:rsid w:val="007E339E"/>
    <w:rsid w:val="007E52D8"/>
    <w:rsid w:val="007E735F"/>
    <w:rsid w:val="007F18A6"/>
    <w:rsid w:val="007F29E4"/>
    <w:rsid w:val="007F357D"/>
    <w:rsid w:val="007F52A4"/>
    <w:rsid w:val="007F6E20"/>
    <w:rsid w:val="00802480"/>
    <w:rsid w:val="0080265E"/>
    <w:rsid w:val="008028AF"/>
    <w:rsid w:val="00802DE0"/>
    <w:rsid w:val="008055D5"/>
    <w:rsid w:val="00805FE6"/>
    <w:rsid w:val="00806C22"/>
    <w:rsid w:val="008078F4"/>
    <w:rsid w:val="00807E92"/>
    <w:rsid w:val="00810DE3"/>
    <w:rsid w:val="008120A2"/>
    <w:rsid w:val="008127D5"/>
    <w:rsid w:val="00814EA5"/>
    <w:rsid w:val="00816FCC"/>
    <w:rsid w:val="008172EA"/>
    <w:rsid w:val="0082061C"/>
    <w:rsid w:val="00821A1E"/>
    <w:rsid w:val="008230EF"/>
    <w:rsid w:val="00826F79"/>
    <w:rsid w:val="008315B6"/>
    <w:rsid w:val="00831A2A"/>
    <w:rsid w:val="00832241"/>
    <w:rsid w:val="00832596"/>
    <w:rsid w:val="00836094"/>
    <w:rsid w:val="00837065"/>
    <w:rsid w:val="0083726B"/>
    <w:rsid w:val="008401E4"/>
    <w:rsid w:val="00840272"/>
    <w:rsid w:val="00842404"/>
    <w:rsid w:val="00842676"/>
    <w:rsid w:val="00842DAC"/>
    <w:rsid w:val="00844AFE"/>
    <w:rsid w:val="00844BC1"/>
    <w:rsid w:val="00845E99"/>
    <w:rsid w:val="0084746A"/>
    <w:rsid w:val="00851D9E"/>
    <w:rsid w:val="0085475B"/>
    <w:rsid w:val="00856081"/>
    <w:rsid w:val="008603D6"/>
    <w:rsid w:val="008638DA"/>
    <w:rsid w:val="00867306"/>
    <w:rsid w:val="00870BEE"/>
    <w:rsid w:val="00870DE2"/>
    <w:rsid w:val="00874148"/>
    <w:rsid w:val="008760B8"/>
    <w:rsid w:val="00884364"/>
    <w:rsid w:val="00884EA6"/>
    <w:rsid w:val="0088651F"/>
    <w:rsid w:val="0089464E"/>
    <w:rsid w:val="008961F4"/>
    <w:rsid w:val="00896AB6"/>
    <w:rsid w:val="008A17B9"/>
    <w:rsid w:val="008A4329"/>
    <w:rsid w:val="008B0623"/>
    <w:rsid w:val="008B2483"/>
    <w:rsid w:val="008B273C"/>
    <w:rsid w:val="008B316C"/>
    <w:rsid w:val="008B3435"/>
    <w:rsid w:val="008B70E0"/>
    <w:rsid w:val="008C16DF"/>
    <w:rsid w:val="008C23FC"/>
    <w:rsid w:val="008C2A67"/>
    <w:rsid w:val="008C32FF"/>
    <w:rsid w:val="008D06E2"/>
    <w:rsid w:val="008D1040"/>
    <w:rsid w:val="008D494F"/>
    <w:rsid w:val="008D530C"/>
    <w:rsid w:val="008D5436"/>
    <w:rsid w:val="008D5C37"/>
    <w:rsid w:val="008E38BE"/>
    <w:rsid w:val="008E48DE"/>
    <w:rsid w:val="008E50CB"/>
    <w:rsid w:val="008E5BD2"/>
    <w:rsid w:val="008F19A5"/>
    <w:rsid w:val="008F4287"/>
    <w:rsid w:val="008F66C0"/>
    <w:rsid w:val="00903E5F"/>
    <w:rsid w:val="009069E3"/>
    <w:rsid w:val="00910E8D"/>
    <w:rsid w:val="00914D4D"/>
    <w:rsid w:val="00920790"/>
    <w:rsid w:val="00920911"/>
    <w:rsid w:val="00920986"/>
    <w:rsid w:val="00921499"/>
    <w:rsid w:val="009221D4"/>
    <w:rsid w:val="00922441"/>
    <w:rsid w:val="0092445E"/>
    <w:rsid w:val="00924623"/>
    <w:rsid w:val="0093053B"/>
    <w:rsid w:val="00933027"/>
    <w:rsid w:val="00934017"/>
    <w:rsid w:val="00937365"/>
    <w:rsid w:val="009418F8"/>
    <w:rsid w:val="00941C59"/>
    <w:rsid w:val="00947607"/>
    <w:rsid w:val="00951A28"/>
    <w:rsid w:val="00955948"/>
    <w:rsid w:val="00956A15"/>
    <w:rsid w:val="0096718F"/>
    <w:rsid w:val="0097097F"/>
    <w:rsid w:val="00974C7D"/>
    <w:rsid w:val="00974D42"/>
    <w:rsid w:val="00976470"/>
    <w:rsid w:val="009767DA"/>
    <w:rsid w:val="00981302"/>
    <w:rsid w:val="0098593B"/>
    <w:rsid w:val="009875A1"/>
    <w:rsid w:val="0099599C"/>
    <w:rsid w:val="009A1A58"/>
    <w:rsid w:val="009A2740"/>
    <w:rsid w:val="009A38AF"/>
    <w:rsid w:val="009A5FA7"/>
    <w:rsid w:val="009A614C"/>
    <w:rsid w:val="009B0F27"/>
    <w:rsid w:val="009B2D94"/>
    <w:rsid w:val="009B3818"/>
    <w:rsid w:val="009B3F54"/>
    <w:rsid w:val="009B422D"/>
    <w:rsid w:val="009B5420"/>
    <w:rsid w:val="009B5436"/>
    <w:rsid w:val="009B633E"/>
    <w:rsid w:val="009B6FC8"/>
    <w:rsid w:val="009C0093"/>
    <w:rsid w:val="009C0683"/>
    <w:rsid w:val="009C781F"/>
    <w:rsid w:val="009F1F41"/>
    <w:rsid w:val="009F38B8"/>
    <w:rsid w:val="009F3FC3"/>
    <w:rsid w:val="009F5156"/>
    <w:rsid w:val="009F5192"/>
    <w:rsid w:val="009F61B6"/>
    <w:rsid w:val="00A010D2"/>
    <w:rsid w:val="00A047B7"/>
    <w:rsid w:val="00A06168"/>
    <w:rsid w:val="00A1297B"/>
    <w:rsid w:val="00A17FC6"/>
    <w:rsid w:val="00A21E89"/>
    <w:rsid w:val="00A254B2"/>
    <w:rsid w:val="00A26532"/>
    <w:rsid w:val="00A40B21"/>
    <w:rsid w:val="00A414D2"/>
    <w:rsid w:val="00A44AD5"/>
    <w:rsid w:val="00A4643C"/>
    <w:rsid w:val="00A46C5C"/>
    <w:rsid w:val="00A47882"/>
    <w:rsid w:val="00A47BBF"/>
    <w:rsid w:val="00A52734"/>
    <w:rsid w:val="00A527E8"/>
    <w:rsid w:val="00A53340"/>
    <w:rsid w:val="00A53BDB"/>
    <w:rsid w:val="00A57C30"/>
    <w:rsid w:val="00A60069"/>
    <w:rsid w:val="00A612D1"/>
    <w:rsid w:val="00A66DEB"/>
    <w:rsid w:val="00A72D14"/>
    <w:rsid w:val="00A75DB3"/>
    <w:rsid w:val="00A77A87"/>
    <w:rsid w:val="00A80E1D"/>
    <w:rsid w:val="00A83578"/>
    <w:rsid w:val="00A847CD"/>
    <w:rsid w:val="00A86889"/>
    <w:rsid w:val="00A90E0B"/>
    <w:rsid w:val="00A9366B"/>
    <w:rsid w:val="00A95742"/>
    <w:rsid w:val="00A9770D"/>
    <w:rsid w:val="00AA0723"/>
    <w:rsid w:val="00AA621B"/>
    <w:rsid w:val="00AB121A"/>
    <w:rsid w:val="00AB1B2C"/>
    <w:rsid w:val="00AB3494"/>
    <w:rsid w:val="00AB3C67"/>
    <w:rsid w:val="00AB503A"/>
    <w:rsid w:val="00AB5F74"/>
    <w:rsid w:val="00AB65FB"/>
    <w:rsid w:val="00AB6BBE"/>
    <w:rsid w:val="00AB7281"/>
    <w:rsid w:val="00AC1241"/>
    <w:rsid w:val="00AC12AC"/>
    <w:rsid w:val="00AC2825"/>
    <w:rsid w:val="00AC48D6"/>
    <w:rsid w:val="00AC5C42"/>
    <w:rsid w:val="00AC67C0"/>
    <w:rsid w:val="00AC7BB9"/>
    <w:rsid w:val="00AD0D47"/>
    <w:rsid w:val="00AD1076"/>
    <w:rsid w:val="00AD4B51"/>
    <w:rsid w:val="00AD5B3E"/>
    <w:rsid w:val="00AE199B"/>
    <w:rsid w:val="00AE233D"/>
    <w:rsid w:val="00AE2B42"/>
    <w:rsid w:val="00AE41C2"/>
    <w:rsid w:val="00AE7878"/>
    <w:rsid w:val="00AF0289"/>
    <w:rsid w:val="00AF42C4"/>
    <w:rsid w:val="00AF6FF4"/>
    <w:rsid w:val="00AF7FAC"/>
    <w:rsid w:val="00B00C63"/>
    <w:rsid w:val="00B0271F"/>
    <w:rsid w:val="00B03703"/>
    <w:rsid w:val="00B04AEB"/>
    <w:rsid w:val="00B110C1"/>
    <w:rsid w:val="00B127BA"/>
    <w:rsid w:val="00B23304"/>
    <w:rsid w:val="00B23CB6"/>
    <w:rsid w:val="00B23EFE"/>
    <w:rsid w:val="00B245E6"/>
    <w:rsid w:val="00B27171"/>
    <w:rsid w:val="00B30EE3"/>
    <w:rsid w:val="00B31E28"/>
    <w:rsid w:val="00B32059"/>
    <w:rsid w:val="00B32D6A"/>
    <w:rsid w:val="00B335F9"/>
    <w:rsid w:val="00B33BD7"/>
    <w:rsid w:val="00B347A1"/>
    <w:rsid w:val="00B3663B"/>
    <w:rsid w:val="00B36EB3"/>
    <w:rsid w:val="00B41A93"/>
    <w:rsid w:val="00B41D90"/>
    <w:rsid w:val="00B431E0"/>
    <w:rsid w:val="00B47076"/>
    <w:rsid w:val="00B470D7"/>
    <w:rsid w:val="00B505CF"/>
    <w:rsid w:val="00B53929"/>
    <w:rsid w:val="00B54CF4"/>
    <w:rsid w:val="00B55B40"/>
    <w:rsid w:val="00B64266"/>
    <w:rsid w:val="00B64529"/>
    <w:rsid w:val="00B6591C"/>
    <w:rsid w:val="00B70633"/>
    <w:rsid w:val="00B7143B"/>
    <w:rsid w:val="00B75F57"/>
    <w:rsid w:val="00B819FD"/>
    <w:rsid w:val="00B81EEE"/>
    <w:rsid w:val="00B85F2D"/>
    <w:rsid w:val="00B86434"/>
    <w:rsid w:val="00B951E4"/>
    <w:rsid w:val="00B96C5A"/>
    <w:rsid w:val="00B97DCD"/>
    <w:rsid w:val="00BA2D38"/>
    <w:rsid w:val="00BA5187"/>
    <w:rsid w:val="00BA60F4"/>
    <w:rsid w:val="00BA640A"/>
    <w:rsid w:val="00BB02E4"/>
    <w:rsid w:val="00BB1BC1"/>
    <w:rsid w:val="00BB2D7A"/>
    <w:rsid w:val="00BB4975"/>
    <w:rsid w:val="00BB6FB6"/>
    <w:rsid w:val="00BC066C"/>
    <w:rsid w:val="00BC3F3B"/>
    <w:rsid w:val="00BC455A"/>
    <w:rsid w:val="00BC62AB"/>
    <w:rsid w:val="00BC7035"/>
    <w:rsid w:val="00BD14D3"/>
    <w:rsid w:val="00BE0329"/>
    <w:rsid w:val="00BE056C"/>
    <w:rsid w:val="00BE2AF9"/>
    <w:rsid w:val="00BE49D6"/>
    <w:rsid w:val="00BE5DD1"/>
    <w:rsid w:val="00BE6AFA"/>
    <w:rsid w:val="00BF1871"/>
    <w:rsid w:val="00BF21C4"/>
    <w:rsid w:val="00BF6851"/>
    <w:rsid w:val="00C03B02"/>
    <w:rsid w:val="00C03DDB"/>
    <w:rsid w:val="00C05E74"/>
    <w:rsid w:val="00C10433"/>
    <w:rsid w:val="00C10C80"/>
    <w:rsid w:val="00C12C90"/>
    <w:rsid w:val="00C12F5E"/>
    <w:rsid w:val="00C13CC7"/>
    <w:rsid w:val="00C15E5C"/>
    <w:rsid w:val="00C21C8A"/>
    <w:rsid w:val="00C2667B"/>
    <w:rsid w:val="00C328B9"/>
    <w:rsid w:val="00C35E71"/>
    <w:rsid w:val="00C36A12"/>
    <w:rsid w:val="00C374B9"/>
    <w:rsid w:val="00C37925"/>
    <w:rsid w:val="00C41221"/>
    <w:rsid w:val="00C43C99"/>
    <w:rsid w:val="00C44496"/>
    <w:rsid w:val="00C44845"/>
    <w:rsid w:val="00C4528F"/>
    <w:rsid w:val="00C45A64"/>
    <w:rsid w:val="00C47E60"/>
    <w:rsid w:val="00C52675"/>
    <w:rsid w:val="00C55030"/>
    <w:rsid w:val="00C57A10"/>
    <w:rsid w:val="00C60B54"/>
    <w:rsid w:val="00C6152F"/>
    <w:rsid w:val="00C61E56"/>
    <w:rsid w:val="00C62C91"/>
    <w:rsid w:val="00C640D1"/>
    <w:rsid w:val="00C65063"/>
    <w:rsid w:val="00C66AA7"/>
    <w:rsid w:val="00C66D01"/>
    <w:rsid w:val="00C67F96"/>
    <w:rsid w:val="00C71B98"/>
    <w:rsid w:val="00C71C34"/>
    <w:rsid w:val="00C746D6"/>
    <w:rsid w:val="00C748FE"/>
    <w:rsid w:val="00C811E9"/>
    <w:rsid w:val="00C844B1"/>
    <w:rsid w:val="00C86310"/>
    <w:rsid w:val="00C868E1"/>
    <w:rsid w:val="00C86FD5"/>
    <w:rsid w:val="00C873AD"/>
    <w:rsid w:val="00C91925"/>
    <w:rsid w:val="00C927F4"/>
    <w:rsid w:val="00C931C2"/>
    <w:rsid w:val="00C95C66"/>
    <w:rsid w:val="00CA2F8A"/>
    <w:rsid w:val="00CA6760"/>
    <w:rsid w:val="00CB0A1F"/>
    <w:rsid w:val="00CB1A62"/>
    <w:rsid w:val="00CB62AE"/>
    <w:rsid w:val="00CC2188"/>
    <w:rsid w:val="00CC290D"/>
    <w:rsid w:val="00CC5AB6"/>
    <w:rsid w:val="00CD0402"/>
    <w:rsid w:val="00CD16F8"/>
    <w:rsid w:val="00CD361A"/>
    <w:rsid w:val="00CD48AB"/>
    <w:rsid w:val="00CD51EA"/>
    <w:rsid w:val="00CD6038"/>
    <w:rsid w:val="00CE3A42"/>
    <w:rsid w:val="00CE435B"/>
    <w:rsid w:val="00CE4828"/>
    <w:rsid w:val="00CE7667"/>
    <w:rsid w:val="00CF2D99"/>
    <w:rsid w:val="00CF3D73"/>
    <w:rsid w:val="00CF4C75"/>
    <w:rsid w:val="00CF5304"/>
    <w:rsid w:val="00CF723A"/>
    <w:rsid w:val="00D01E84"/>
    <w:rsid w:val="00D06B62"/>
    <w:rsid w:val="00D07400"/>
    <w:rsid w:val="00D1033A"/>
    <w:rsid w:val="00D11293"/>
    <w:rsid w:val="00D14C0F"/>
    <w:rsid w:val="00D16842"/>
    <w:rsid w:val="00D22DC4"/>
    <w:rsid w:val="00D22E48"/>
    <w:rsid w:val="00D233DB"/>
    <w:rsid w:val="00D309E3"/>
    <w:rsid w:val="00D31E18"/>
    <w:rsid w:val="00D33E10"/>
    <w:rsid w:val="00D35C29"/>
    <w:rsid w:val="00D36F3C"/>
    <w:rsid w:val="00D4465D"/>
    <w:rsid w:val="00D46DA8"/>
    <w:rsid w:val="00D53815"/>
    <w:rsid w:val="00D63148"/>
    <w:rsid w:val="00D63669"/>
    <w:rsid w:val="00D649BC"/>
    <w:rsid w:val="00D73285"/>
    <w:rsid w:val="00D7367B"/>
    <w:rsid w:val="00D740B8"/>
    <w:rsid w:val="00D76A12"/>
    <w:rsid w:val="00D80F80"/>
    <w:rsid w:val="00D83E62"/>
    <w:rsid w:val="00D86A55"/>
    <w:rsid w:val="00D96504"/>
    <w:rsid w:val="00DA08FF"/>
    <w:rsid w:val="00DA21B8"/>
    <w:rsid w:val="00DA3274"/>
    <w:rsid w:val="00DA4207"/>
    <w:rsid w:val="00DA5284"/>
    <w:rsid w:val="00DB0668"/>
    <w:rsid w:val="00DB148A"/>
    <w:rsid w:val="00DB3F31"/>
    <w:rsid w:val="00DB5D93"/>
    <w:rsid w:val="00DC0CA6"/>
    <w:rsid w:val="00DC18F4"/>
    <w:rsid w:val="00DC1F60"/>
    <w:rsid w:val="00DC39D0"/>
    <w:rsid w:val="00DC4680"/>
    <w:rsid w:val="00DC4ABC"/>
    <w:rsid w:val="00DC6A1E"/>
    <w:rsid w:val="00DD114D"/>
    <w:rsid w:val="00DD17DB"/>
    <w:rsid w:val="00DD621F"/>
    <w:rsid w:val="00DE4444"/>
    <w:rsid w:val="00DE6AB7"/>
    <w:rsid w:val="00DE7A08"/>
    <w:rsid w:val="00DF0C8C"/>
    <w:rsid w:val="00DF0FAA"/>
    <w:rsid w:val="00DF28CC"/>
    <w:rsid w:val="00DF3E49"/>
    <w:rsid w:val="00DF3F31"/>
    <w:rsid w:val="00DF46F2"/>
    <w:rsid w:val="00DF7876"/>
    <w:rsid w:val="00E00E7B"/>
    <w:rsid w:val="00E043C6"/>
    <w:rsid w:val="00E047F2"/>
    <w:rsid w:val="00E06F41"/>
    <w:rsid w:val="00E11BED"/>
    <w:rsid w:val="00E12044"/>
    <w:rsid w:val="00E121EF"/>
    <w:rsid w:val="00E12CA5"/>
    <w:rsid w:val="00E13561"/>
    <w:rsid w:val="00E14803"/>
    <w:rsid w:val="00E20A52"/>
    <w:rsid w:val="00E24EF5"/>
    <w:rsid w:val="00E3013C"/>
    <w:rsid w:val="00E304A9"/>
    <w:rsid w:val="00E30A58"/>
    <w:rsid w:val="00E318AE"/>
    <w:rsid w:val="00E32267"/>
    <w:rsid w:val="00E323F1"/>
    <w:rsid w:val="00E33855"/>
    <w:rsid w:val="00E33BD4"/>
    <w:rsid w:val="00E366B8"/>
    <w:rsid w:val="00E43BD3"/>
    <w:rsid w:val="00E4627A"/>
    <w:rsid w:val="00E47379"/>
    <w:rsid w:val="00E513B6"/>
    <w:rsid w:val="00E556A3"/>
    <w:rsid w:val="00E55DCA"/>
    <w:rsid w:val="00E63B22"/>
    <w:rsid w:val="00E63F68"/>
    <w:rsid w:val="00E6523B"/>
    <w:rsid w:val="00E66A03"/>
    <w:rsid w:val="00E70F73"/>
    <w:rsid w:val="00E73D2F"/>
    <w:rsid w:val="00E74472"/>
    <w:rsid w:val="00E843ED"/>
    <w:rsid w:val="00E84F79"/>
    <w:rsid w:val="00E91424"/>
    <w:rsid w:val="00E91993"/>
    <w:rsid w:val="00E91E79"/>
    <w:rsid w:val="00E95741"/>
    <w:rsid w:val="00E95AB8"/>
    <w:rsid w:val="00E95BD1"/>
    <w:rsid w:val="00E97A37"/>
    <w:rsid w:val="00EA26D8"/>
    <w:rsid w:val="00EA2E81"/>
    <w:rsid w:val="00EA2F5E"/>
    <w:rsid w:val="00EA3458"/>
    <w:rsid w:val="00EA49B8"/>
    <w:rsid w:val="00EB2C93"/>
    <w:rsid w:val="00EB399A"/>
    <w:rsid w:val="00EB57A7"/>
    <w:rsid w:val="00EB5A6C"/>
    <w:rsid w:val="00EC0B4D"/>
    <w:rsid w:val="00EC2CFF"/>
    <w:rsid w:val="00EC57F6"/>
    <w:rsid w:val="00EC58A1"/>
    <w:rsid w:val="00EC6E5C"/>
    <w:rsid w:val="00ED0218"/>
    <w:rsid w:val="00ED1B02"/>
    <w:rsid w:val="00ED4356"/>
    <w:rsid w:val="00ED5DE6"/>
    <w:rsid w:val="00ED6B71"/>
    <w:rsid w:val="00ED6FB6"/>
    <w:rsid w:val="00EE08D5"/>
    <w:rsid w:val="00EE3906"/>
    <w:rsid w:val="00EE3A48"/>
    <w:rsid w:val="00EE4D65"/>
    <w:rsid w:val="00EF0A70"/>
    <w:rsid w:val="00EF4713"/>
    <w:rsid w:val="00EF4B54"/>
    <w:rsid w:val="00EF6D17"/>
    <w:rsid w:val="00EF6D7F"/>
    <w:rsid w:val="00F0107A"/>
    <w:rsid w:val="00F10EFF"/>
    <w:rsid w:val="00F20A96"/>
    <w:rsid w:val="00F237AF"/>
    <w:rsid w:val="00F346B9"/>
    <w:rsid w:val="00F34E80"/>
    <w:rsid w:val="00F37485"/>
    <w:rsid w:val="00F46F10"/>
    <w:rsid w:val="00F476F0"/>
    <w:rsid w:val="00F50AF5"/>
    <w:rsid w:val="00F56D60"/>
    <w:rsid w:val="00F57298"/>
    <w:rsid w:val="00F60176"/>
    <w:rsid w:val="00F62700"/>
    <w:rsid w:val="00F63712"/>
    <w:rsid w:val="00F72EDA"/>
    <w:rsid w:val="00F7450E"/>
    <w:rsid w:val="00F747CA"/>
    <w:rsid w:val="00F75003"/>
    <w:rsid w:val="00F75A1F"/>
    <w:rsid w:val="00F768CF"/>
    <w:rsid w:val="00F76912"/>
    <w:rsid w:val="00F82488"/>
    <w:rsid w:val="00F859CA"/>
    <w:rsid w:val="00F910AC"/>
    <w:rsid w:val="00F941FB"/>
    <w:rsid w:val="00F94E4D"/>
    <w:rsid w:val="00F9519B"/>
    <w:rsid w:val="00F95D6B"/>
    <w:rsid w:val="00F95E6E"/>
    <w:rsid w:val="00F96FEF"/>
    <w:rsid w:val="00F9775A"/>
    <w:rsid w:val="00FA0AD1"/>
    <w:rsid w:val="00FA4271"/>
    <w:rsid w:val="00FA450F"/>
    <w:rsid w:val="00FA4E2D"/>
    <w:rsid w:val="00FA57DC"/>
    <w:rsid w:val="00FB2461"/>
    <w:rsid w:val="00FB306C"/>
    <w:rsid w:val="00FB603A"/>
    <w:rsid w:val="00FC10F7"/>
    <w:rsid w:val="00FC162A"/>
    <w:rsid w:val="00FC162E"/>
    <w:rsid w:val="00FC5B4A"/>
    <w:rsid w:val="00FD2264"/>
    <w:rsid w:val="00FD38B8"/>
    <w:rsid w:val="00FD3DC4"/>
    <w:rsid w:val="00FD5C37"/>
    <w:rsid w:val="00FD785B"/>
    <w:rsid w:val="00FD7EDD"/>
    <w:rsid w:val="00FE32B8"/>
    <w:rsid w:val="00FE4498"/>
    <w:rsid w:val="00FE479F"/>
    <w:rsid w:val="00FE4C81"/>
    <w:rsid w:val="00FE5C0D"/>
    <w:rsid w:val="00FE6312"/>
    <w:rsid w:val="00FF238C"/>
    <w:rsid w:val="00FF3089"/>
    <w:rsid w:val="00FF35C2"/>
    <w:rsid w:val="00FF429E"/>
    <w:rsid w:val="00FF5630"/>
    <w:rsid w:val="00FF688F"/>
    <w:rsid w:val="00FF711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qFormat="1"/>
    <w:lsdException w:name="List Bullet 2" w:uiPriority="0" w:qFormat="1"/>
    <w:lsdException w:name="List Bullet 3" w:uiPriority="0" w:qFormat="1"/>
    <w:lsdException w:name="Title" w:semiHidden="0" w:uiPriority="10" w:unhideWhenUsed="0"/>
    <w:lsdException w:name="Default Paragraph Font" w:uiPriority="1"/>
    <w:lsdException w:name="Body Text" w:qFormat="1"/>
    <w:lsdException w:name="Subtitle" w:semiHidden="0" w:uiPriority="11" w:unhideWhenUsed="0"/>
    <w:lsdException w:name="Body Text 3" w:uiPriority="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B633E"/>
    <w:rPr>
      <w:rFonts w:ascii="Times New Roman" w:hAnsi="Times New Roman"/>
      <w:sz w:val="22"/>
      <w:lang w:val="es-ES" w:eastAsia="en-US"/>
    </w:rPr>
  </w:style>
  <w:style w:type="paragraph" w:styleId="Ttulo1">
    <w:name w:val="heading 1"/>
    <w:basedOn w:val="Ttulo2"/>
    <w:next w:val="Textoindependiente"/>
    <w:link w:val="Ttulo1Car"/>
    <w:uiPriority w:val="9"/>
    <w:qFormat/>
    <w:rsid w:val="001C49E5"/>
    <w:pPr>
      <w:pageBreakBefore/>
      <w:numPr>
        <w:ilvl w:val="0"/>
      </w:numPr>
      <w:spacing w:before="0" w:line="360" w:lineRule="exact"/>
      <w:outlineLvl w:val="0"/>
    </w:pPr>
    <w:rPr>
      <w:sz w:val="32"/>
    </w:rPr>
  </w:style>
  <w:style w:type="paragraph" w:styleId="Ttulo2">
    <w:name w:val="heading 2"/>
    <w:basedOn w:val="Textoindependiente"/>
    <w:next w:val="Textoindependiente"/>
    <w:qFormat/>
    <w:rsid w:val="001C49E5"/>
    <w:pPr>
      <w:keepNext/>
      <w:numPr>
        <w:ilvl w:val="1"/>
        <w:numId w:val="4"/>
      </w:numPr>
      <w:spacing w:before="400" w:after="0" w:line="320" w:lineRule="exact"/>
      <w:jc w:val="left"/>
      <w:outlineLvl w:val="1"/>
    </w:pPr>
    <w:rPr>
      <w:b/>
      <w:sz w:val="28"/>
    </w:rPr>
  </w:style>
  <w:style w:type="paragraph" w:styleId="Ttulo3">
    <w:name w:val="heading 3"/>
    <w:basedOn w:val="Ttulo4"/>
    <w:next w:val="Textoindependiente"/>
    <w:qFormat/>
    <w:rsid w:val="001C49E5"/>
    <w:pPr>
      <w:numPr>
        <w:ilvl w:val="2"/>
      </w:numPr>
      <w:outlineLvl w:val="2"/>
    </w:pPr>
    <w:rPr>
      <w:i w:val="0"/>
    </w:rPr>
  </w:style>
  <w:style w:type="paragraph" w:styleId="Ttulo4">
    <w:name w:val="heading 4"/>
    <w:basedOn w:val="Ttulo5"/>
    <w:next w:val="Textoindependiente"/>
    <w:qFormat/>
    <w:rsid w:val="001C49E5"/>
    <w:pPr>
      <w:numPr>
        <w:ilvl w:val="3"/>
        <w:numId w:val="4"/>
      </w:numPr>
      <w:tabs>
        <w:tab w:val="clear" w:pos="20"/>
        <w:tab w:val="left" w:pos="0"/>
      </w:tabs>
      <w:spacing w:line="280" w:lineRule="exact"/>
      <w:outlineLvl w:val="3"/>
    </w:pPr>
    <w:rPr>
      <w:b/>
      <w:sz w:val="24"/>
    </w:rPr>
  </w:style>
  <w:style w:type="paragraph" w:styleId="Ttulo5">
    <w:name w:val="heading 5"/>
    <w:basedOn w:val="Textoindependiente"/>
    <w:next w:val="Textoindependiente"/>
    <w:qFormat/>
    <w:rsid w:val="001C49E5"/>
    <w:pPr>
      <w:keepNext/>
      <w:spacing w:before="400" w:after="0" w:line="260" w:lineRule="exact"/>
      <w:jc w:val="left"/>
      <w:outlineLvl w:val="4"/>
    </w:pPr>
    <w:rPr>
      <w:i/>
    </w:rPr>
  </w:style>
  <w:style w:type="paragraph" w:styleId="Ttulo6">
    <w:name w:val="heading 6"/>
    <w:basedOn w:val="Normal"/>
    <w:next w:val="Normal"/>
    <w:rsid w:val="001C49E5"/>
    <w:pPr>
      <w:outlineLvl w:val="5"/>
    </w:pPr>
  </w:style>
  <w:style w:type="paragraph" w:styleId="Ttulo7">
    <w:name w:val="heading 7"/>
    <w:basedOn w:val="Normal"/>
    <w:next w:val="Normal"/>
    <w:rsid w:val="001C49E5"/>
    <w:pPr>
      <w:outlineLvl w:val="6"/>
    </w:pPr>
  </w:style>
  <w:style w:type="paragraph" w:styleId="Ttulo8">
    <w:name w:val="heading 8"/>
    <w:basedOn w:val="Normal"/>
    <w:next w:val="Normal"/>
    <w:rsid w:val="001C49E5"/>
    <w:pPr>
      <w:outlineLvl w:val="7"/>
    </w:pPr>
  </w:style>
  <w:style w:type="paragraph" w:styleId="Ttulo9">
    <w:name w:val="heading 9"/>
    <w:basedOn w:val="Normal"/>
    <w:next w:val="Normal"/>
    <w:rsid w:val="001C49E5"/>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1C49E5"/>
    <w:pPr>
      <w:spacing w:before="130" w:after="130"/>
      <w:jc w:val="both"/>
    </w:pPr>
  </w:style>
  <w:style w:type="paragraph" w:styleId="TDC4">
    <w:name w:val="toc 4"/>
    <w:basedOn w:val="TDC3"/>
    <w:semiHidden/>
    <w:rsid w:val="001C49E5"/>
  </w:style>
  <w:style w:type="paragraph" w:styleId="TDC3">
    <w:name w:val="toc 3"/>
    <w:basedOn w:val="TDC2"/>
    <w:uiPriority w:val="39"/>
    <w:rsid w:val="001C49E5"/>
    <w:pPr>
      <w:tabs>
        <w:tab w:val="left" w:pos="1418"/>
      </w:tabs>
      <w:ind w:left="1418" w:hanging="1418"/>
    </w:pPr>
  </w:style>
  <w:style w:type="paragraph" w:styleId="TDC2">
    <w:name w:val="toc 2"/>
    <w:basedOn w:val="TDC1"/>
    <w:uiPriority w:val="39"/>
    <w:rsid w:val="001C49E5"/>
    <w:pPr>
      <w:spacing w:before="0"/>
    </w:pPr>
    <w:rPr>
      <w:sz w:val="24"/>
    </w:rPr>
  </w:style>
  <w:style w:type="paragraph" w:styleId="TDC1">
    <w:name w:val="toc 1"/>
    <w:basedOn w:val="Normal"/>
    <w:uiPriority w:val="39"/>
    <w:rsid w:val="001C49E5"/>
    <w:pPr>
      <w:tabs>
        <w:tab w:val="right" w:pos="8505"/>
      </w:tabs>
      <w:spacing w:before="260"/>
      <w:ind w:left="850" w:right="567" w:hanging="850"/>
    </w:pPr>
    <w:rPr>
      <w:sz w:val="28"/>
    </w:rPr>
  </w:style>
  <w:style w:type="paragraph" w:styleId="Piedepgina">
    <w:name w:val="footer"/>
    <w:basedOn w:val="Normal"/>
    <w:semiHidden/>
    <w:rsid w:val="001C49E5"/>
    <w:pPr>
      <w:tabs>
        <w:tab w:val="right" w:pos="8222"/>
      </w:tabs>
    </w:pPr>
    <w:rPr>
      <w:sz w:val="18"/>
    </w:rPr>
  </w:style>
  <w:style w:type="paragraph" w:styleId="Encabezado">
    <w:name w:val="header"/>
    <w:basedOn w:val="Normal"/>
    <w:semiHidden/>
    <w:rsid w:val="001C49E5"/>
    <w:pPr>
      <w:spacing w:line="220" w:lineRule="atLeast"/>
      <w:jc w:val="right"/>
    </w:pPr>
    <w:rPr>
      <w:i/>
      <w:sz w:val="18"/>
    </w:rPr>
  </w:style>
  <w:style w:type="paragraph" w:styleId="Listaconvietas">
    <w:name w:val="List Bullet"/>
    <w:basedOn w:val="Textoindependiente"/>
    <w:qFormat/>
    <w:rsid w:val="001C49E5"/>
    <w:pPr>
      <w:numPr>
        <w:numId w:val="26"/>
      </w:numPr>
    </w:pPr>
  </w:style>
  <w:style w:type="paragraph" w:styleId="Listaconvietas2">
    <w:name w:val="List Bullet 2"/>
    <w:basedOn w:val="Listaconvietas"/>
    <w:qFormat/>
    <w:rsid w:val="001C49E5"/>
    <w:pPr>
      <w:numPr>
        <w:numId w:val="2"/>
      </w:numPr>
    </w:pPr>
  </w:style>
  <w:style w:type="paragraph" w:customStyle="1" w:styleId="zreportname">
    <w:name w:val="zreport name"/>
    <w:basedOn w:val="Normal"/>
    <w:semiHidden/>
    <w:rsid w:val="001C49E5"/>
    <w:pPr>
      <w:keepLines/>
      <w:spacing w:line="440" w:lineRule="exact"/>
      <w:jc w:val="center"/>
    </w:pPr>
    <w:rPr>
      <w:sz w:val="36"/>
    </w:rPr>
  </w:style>
  <w:style w:type="paragraph" w:customStyle="1" w:styleId="zcontents">
    <w:name w:val="zcontents"/>
    <w:basedOn w:val="Normal"/>
    <w:semiHidden/>
    <w:rsid w:val="001C49E5"/>
    <w:pPr>
      <w:spacing w:after="260"/>
    </w:pPr>
    <w:rPr>
      <w:b/>
      <w:sz w:val="32"/>
    </w:rPr>
  </w:style>
  <w:style w:type="paragraph" w:customStyle="1" w:styleId="zcompanyname">
    <w:name w:val="zcompany name"/>
    <w:basedOn w:val="Normal"/>
    <w:semiHidden/>
    <w:rsid w:val="001C49E5"/>
    <w:pPr>
      <w:spacing w:after="400" w:line="440" w:lineRule="exact"/>
      <w:jc w:val="center"/>
    </w:pPr>
    <w:rPr>
      <w:b/>
      <w:noProof/>
      <w:sz w:val="26"/>
    </w:rPr>
  </w:style>
  <w:style w:type="paragraph" w:styleId="Textonotapie">
    <w:name w:val="footnote text"/>
    <w:basedOn w:val="Normal"/>
    <w:link w:val="TextonotapieCar"/>
    <w:uiPriority w:val="99"/>
    <w:semiHidden/>
    <w:rsid w:val="001C49E5"/>
    <w:rPr>
      <w:sz w:val="18"/>
    </w:rPr>
  </w:style>
  <w:style w:type="paragraph" w:customStyle="1" w:styleId="zreportsubtitle">
    <w:name w:val="zreport subtitle"/>
    <w:basedOn w:val="zreportname"/>
    <w:semiHidden/>
    <w:rsid w:val="001C49E5"/>
    <w:rPr>
      <w:sz w:val="32"/>
    </w:rPr>
  </w:style>
  <w:style w:type="paragraph" w:styleId="Sangradetextonormal">
    <w:name w:val="Body Text Indent"/>
    <w:basedOn w:val="Textoindependiente"/>
    <w:semiHidden/>
    <w:rsid w:val="001C49E5"/>
    <w:pPr>
      <w:ind w:left="340"/>
    </w:pPr>
  </w:style>
  <w:style w:type="paragraph" w:styleId="ndice1">
    <w:name w:val="index 1"/>
    <w:basedOn w:val="Normal"/>
    <w:next w:val="Normal"/>
    <w:semiHidden/>
    <w:rsid w:val="001C49E5"/>
    <w:pPr>
      <w:keepNext/>
      <w:spacing w:before="260" w:line="280" w:lineRule="exact"/>
      <w:ind w:right="851"/>
    </w:pPr>
    <w:rPr>
      <w:b/>
      <w:sz w:val="24"/>
    </w:rPr>
  </w:style>
  <w:style w:type="paragraph" w:customStyle="1" w:styleId="Graphic">
    <w:name w:val="Graphic"/>
    <w:basedOn w:val="Firma"/>
    <w:next w:val="Epgrafe"/>
    <w:qFormat/>
    <w:rsid w:val="001C49E5"/>
    <w:pPr>
      <w:pBdr>
        <w:top w:val="single" w:sz="4" w:space="1" w:color="auto"/>
        <w:left w:val="single" w:sz="4" w:space="1" w:color="auto"/>
        <w:bottom w:val="single" w:sz="4" w:space="1" w:color="auto"/>
        <w:right w:val="single" w:sz="4" w:space="1" w:color="auto"/>
      </w:pBdr>
      <w:jc w:val="center"/>
    </w:pPr>
  </w:style>
  <w:style w:type="paragraph" w:styleId="Firma">
    <w:name w:val="Signature"/>
    <w:basedOn w:val="Normal"/>
    <w:semiHidden/>
    <w:rsid w:val="001C49E5"/>
  </w:style>
  <w:style w:type="character" w:styleId="Nmerodepgina">
    <w:name w:val="page number"/>
    <w:basedOn w:val="Fuentedeprrafopredeter"/>
    <w:semiHidden/>
    <w:rsid w:val="001C49E5"/>
    <w:rPr>
      <w:sz w:val="22"/>
    </w:rPr>
  </w:style>
  <w:style w:type="paragraph" w:styleId="ndice2">
    <w:name w:val="index 2"/>
    <w:basedOn w:val="Normal"/>
    <w:next w:val="Normal"/>
    <w:semiHidden/>
    <w:rsid w:val="001C49E5"/>
    <w:pPr>
      <w:ind w:left="340" w:right="851"/>
    </w:pPr>
  </w:style>
  <w:style w:type="paragraph" w:customStyle="1" w:styleId="zreportaddinfo">
    <w:name w:val="zreport addinfo"/>
    <w:basedOn w:val="Normal"/>
    <w:uiPriority w:val="99"/>
    <w:semiHidden/>
    <w:rsid w:val="001C49E5"/>
    <w:pPr>
      <w:framePr w:wrap="around" w:hAnchor="margin" w:xAlign="center" w:yAlign="bottom"/>
      <w:spacing w:line="240" w:lineRule="exact"/>
      <w:jc w:val="center"/>
    </w:pPr>
    <w:rPr>
      <w:noProof/>
      <w:sz w:val="20"/>
    </w:rPr>
  </w:style>
  <w:style w:type="character" w:styleId="nfasis">
    <w:name w:val="Emphasis"/>
    <w:basedOn w:val="Fuentedeprrafopredeter"/>
    <w:uiPriority w:val="20"/>
    <w:rsid w:val="00283233"/>
    <w:rPr>
      <w:i/>
      <w:iCs/>
    </w:rPr>
  </w:style>
  <w:style w:type="paragraph" w:customStyle="1" w:styleId="AppendixHeading">
    <w:name w:val="Appendix Heading"/>
    <w:basedOn w:val="Ttulo1"/>
    <w:next w:val="Textoindependiente"/>
    <w:qFormat/>
    <w:rsid w:val="001C49E5"/>
    <w:pPr>
      <w:numPr>
        <w:numId w:val="5"/>
      </w:numPr>
      <w:outlineLvl w:val="9"/>
    </w:pPr>
  </w:style>
  <w:style w:type="paragraph" w:styleId="Listaconvietas3">
    <w:name w:val="List Bullet 3"/>
    <w:basedOn w:val="Listaconvietas"/>
    <w:qFormat/>
    <w:rsid w:val="001C49E5"/>
    <w:pPr>
      <w:numPr>
        <w:numId w:val="7"/>
      </w:numPr>
      <w:jc w:val="left"/>
    </w:pPr>
    <w:rPr>
      <w:sz w:val="18"/>
    </w:rPr>
  </w:style>
  <w:style w:type="paragraph" w:customStyle="1" w:styleId="AppendixHeading2">
    <w:name w:val="Appendix Heading 2"/>
    <w:basedOn w:val="Ttulo2"/>
    <w:next w:val="Textoindependiente"/>
    <w:qFormat/>
    <w:rsid w:val="001C49E5"/>
    <w:pPr>
      <w:numPr>
        <w:numId w:val="5"/>
      </w:numPr>
      <w:outlineLvl w:val="9"/>
    </w:pPr>
  </w:style>
  <w:style w:type="paragraph" w:customStyle="1" w:styleId="AppendixHeading3">
    <w:name w:val="Appendix Heading 3"/>
    <w:basedOn w:val="Ttulo3"/>
    <w:next w:val="Textoindependiente"/>
    <w:qFormat/>
    <w:rsid w:val="001C49E5"/>
    <w:pPr>
      <w:numPr>
        <w:numId w:val="5"/>
      </w:numPr>
      <w:outlineLvl w:val="9"/>
    </w:pPr>
  </w:style>
  <w:style w:type="paragraph" w:customStyle="1" w:styleId="AppendixHeading4">
    <w:name w:val="Appendix Heading 4"/>
    <w:basedOn w:val="Ttulo4"/>
    <w:next w:val="Textoindependiente"/>
    <w:qFormat/>
    <w:rsid w:val="001C49E5"/>
    <w:pPr>
      <w:numPr>
        <w:numId w:val="5"/>
      </w:numPr>
      <w:outlineLvl w:val="9"/>
    </w:pPr>
  </w:style>
  <w:style w:type="paragraph" w:customStyle="1" w:styleId="AppendixHeading5">
    <w:name w:val="Appendix Heading 5"/>
    <w:basedOn w:val="Ttulo5"/>
    <w:next w:val="Textoindependiente"/>
    <w:qFormat/>
    <w:rsid w:val="001C49E5"/>
    <w:pPr>
      <w:outlineLvl w:val="9"/>
    </w:pPr>
  </w:style>
  <w:style w:type="paragraph" w:styleId="Textoindependiente3">
    <w:name w:val="Body Text 3"/>
    <w:basedOn w:val="Normal"/>
    <w:qFormat/>
    <w:rsid w:val="001C49E5"/>
    <w:pPr>
      <w:ind w:left="142" w:hanging="142"/>
    </w:pPr>
    <w:rPr>
      <w:sz w:val="18"/>
      <w:szCs w:val="16"/>
    </w:rPr>
  </w:style>
  <w:style w:type="paragraph" w:styleId="Epgrafe">
    <w:name w:val="caption"/>
    <w:basedOn w:val="Normal"/>
    <w:next w:val="Textoindependiente"/>
    <w:qFormat/>
    <w:rsid w:val="001C49E5"/>
    <w:rPr>
      <w:bCs/>
      <w:i/>
      <w:sz w:val="14"/>
    </w:rPr>
  </w:style>
  <w:style w:type="paragraph" w:styleId="Listaconvietas4">
    <w:name w:val="List Bullet 4"/>
    <w:basedOn w:val="Listaconvietas2"/>
    <w:rsid w:val="001C49E5"/>
    <w:pPr>
      <w:numPr>
        <w:numId w:val="9"/>
      </w:numPr>
      <w:jc w:val="left"/>
    </w:pPr>
    <w:rPr>
      <w:sz w:val="18"/>
    </w:rPr>
  </w:style>
  <w:style w:type="paragraph" w:customStyle="1" w:styleId="zDocRevwH2">
    <w:name w:val="zDocRevwH2"/>
    <w:basedOn w:val="Normal"/>
    <w:semiHidden/>
    <w:rsid w:val="001C49E5"/>
    <w:pPr>
      <w:spacing w:before="130" w:after="130"/>
    </w:pPr>
    <w:rPr>
      <w:b/>
      <w:sz w:val="28"/>
    </w:rPr>
  </w:style>
  <w:style w:type="paragraph" w:customStyle="1" w:styleId="zDocRevwH1">
    <w:name w:val="zDocRevwH1"/>
    <w:basedOn w:val="Normal"/>
    <w:semiHidden/>
    <w:rsid w:val="001C49E5"/>
    <w:pPr>
      <w:spacing w:before="130" w:after="130"/>
    </w:pPr>
    <w:rPr>
      <w:b/>
      <w:sz w:val="32"/>
    </w:rPr>
  </w:style>
  <w:style w:type="paragraph" w:styleId="Textodeglobo">
    <w:name w:val="Balloon Text"/>
    <w:basedOn w:val="Normal"/>
    <w:semiHidden/>
    <w:rsid w:val="001C49E5"/>
    <w:rPr>
      <w:rFonts w:ascii="Tahoma" w:hAnsi="Tahoma" w:cs="Tahoma"/>
      <w:sz w:val="16"/>
      <w:szCs w:val="16"/>
    </w:rPr>
  </w:style>
  <w:style w:type="character" w:styleId="Textoennegrita">
    <w:name w:val="Strong"/>
    <w:basedOn w:val="Fuentedeprrafopredeter"/>
    <w:uiPriority w:val="22"/>
    <w:rsid w:val="00283233"/>
    <w:rPr>
      <w:b/>
      <w:bCs/>
    </w:rPr>
  </w:style>
  <w:style w:type="paragraph" w:styleId="Ttulo">
    <w:name w:val="Title"/>
    <w:basedOn w:val="Normal"/>
    <w:next w:val="Normal"/>
    <w:link w:val="TtuloCar"/>
    <w:uiPriority w:val="10"/>
    <w:rsid w:val="002832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83233"/>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tulo">
    <w:name w:val="Subtitle"/>
    <w:basedOn w:val="Normal"/>
    <w:next w:val="Normal"/>
    <w:link w:val="SubttuloCar"/>
    <w:uiPriority w:val="11"/>
    <w:rsid w:val="002832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83233"/>
    <w:rPr>
      <w:rFonts w:asciiTheme="majorHAnsi" w:eastAsiaTheme="majorEastAsia" w:hAnsiTheme="majorHAnsi" w:cstheme="majorBidi"/>
      <w:i/>
      <w:iCs/>
      <w:color w:val="4F81BD" w:themeColor="accent1"/>
      <w:spacing w:val="15"/>
      <w:sz w:val="24"/>
      <w:szCs w:val="24"/>
      <w:lang w:val="en-US" w:eastAsia="en-US"/>
    </w:rPr>
  </w:style>
  <w:style w:type="character" w:styleId="nfasissutil">
    <w:name w:val="Subtle Emphasis"/>
    <w:basedOn w:val="Fuentedeprrafopredeter"/>
    <w:uiPriority w:val="19"/>
    <w:rsid w:val="00283233"/>
    <w:rPr>
      <w:i/>
      <w:iCs/>
      <w:color w:val="808080" w:themeColor="text1" w:themeTint="7F"/>
    </w:rPr>
  </w:style>
  <w:style w:type="character" w:styleId="nfasisintenso">
    <w:name w:val="Intense Emphasis"/>
    <w:basedOn w:val="Fuentedeprrafopredeter"/>
    <w:uiPriority w:val="21"/>
    <w:rsid w:val="00283233"/>
    <w:rPr>
      <w:b/>
      <w:bCs/>
      <w:i/>
      <w:iCs/>
      <w:color w:val="4F81BD" w:themeColor="accent1"/>
    </w:rPr>
  </w:style>
  <w:style w:type="paragraph" w:styleId="Cita">
    <w:name w:val="Quote"/>
    <w:basedOn w:val="Normal"/>
    <w:next w:val="Normal"/>
    <w:link w:val="CitaCar"/>
    <w:uiPriority w:val="29"/>
    <w:rsid w:val="00283233"/>
    <w:rPr>
      <w:i/>
      <w:iCs/>
      <w:color w:val="000000" w:themeColor="text1"/>
    </w:rPr>
  </w:style>
  <w:style w:type="character" w:customStyle="1" w:styleId="CitaCar">
    <w:name w:val="Cita Car"/>
    <w:basedOn w:val="Fuentedeprrafopredeter"/>
    <w:link w:val="Cita"/>
    <w:uiPriority w:val="29"/>
    <w:rsid w:val="00283233"/>
    <w:rPr>
      <w:rFonts w:ascii="Times New Roman" w:hAnsi="Times New Roman"/>
      <w:i/>
      <w:iCs/>
      <w:color w:val="000000" w:themeColor="text1"/>
      <w:sz w:val="22"/>
      <w:lang w:val="en-US" w:eastAsia="en-US"/>
    </w:rPr>
  </w:style>
  <w:style w:type="paragraph" w:styleId="Citadestacada">
    <w:name w:val="Intense Quote"/>
    <w:basedOn w:val="Normal"/>
    <w:next w:val="Normal"/>
    <w:link w:val="CitadestacadaCar"/>
    <w:uiPriority w:val="30"/>
    <w:rsid w:val="0028323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83233"/>
    <w:rPr>
      <w:rFonts w:ascii="Times New Roman" w:hAnsi="Times New Roman"/>
      <w:b/>
      <w:bCs/>
      <w:i/>
      <w:iCs/>
      <w:color w:val="4F81BD" w:themeColor="accent1"/>
      <w:sz w:val="22"/>
      <w:lang w:val="en-US" w:eastAsia="en-US"/>
    </w:rPr>
  </w:style>
  <w:style w:type="character" w:styleId="Referenciasutil">
    <w:name w:val="Subtle Reference"/>
    <w:basedOn w:val="Fuentedeprrafopredeter"/>
    <w:uiPriority w:val="31"/>
    <w:rsid w:val="00283233"/>
    <w:rPr>
      <w:smallCaps/>
      <w:color w:val="C0504D" w:themeColor="accent2"/>
      <w:u w:val="single"/>
    </w:rPr>
  </w:style>
  <w:style w:type="character" w:styleId="Referenciaintensa">
    <w:name w:val="Intense Reference"/>
    <w:basedOn w:val="Fuentedeprrafopredeter"/>
    <w:uiPriority w:val="32"/>
    <w:rsid w:val="00283233"/>
    <w:rPr>
      <w:b/>
      <w:bCs/>
      <w:smallCaps/>
      <w:color w:val="C0504D" w:themeColor="accent2"/>
      <w:spacing w:val="5"/>
      <w:u w:val="single"/>
    </w:rPr>
  </w:style>
  <w:style w:type="character" w:styleId="Ttulodellibro">
    <w:name w:val="Book Title"/>
    <w:basedOn w:val="Fuentedeprrafopredeter"/>
    <w:uiPriority w:val="33"/>
    <w:rsid w:val="00283233"/>
    <w:rPr>
      <w:b/>
      <w:bCs/>
      <w:smallCaps/>
      <w:spacing w:val="5"/>
    </w:rPr>
  </w:style>
  <w:style w:type="paragraph" w:styleId="Prrafodelista">
    <w:name w:val="List Paragraph"/>
    <w:basedOn w:val="Normal"/>
    <w:uiPriority w:val="34"/>
    <w:qFormat/>
    <w:rsid w:val="00283233"/>
    <w:pPr>
      <w:ind w:left="720"/>
      <w:contextualSpacing/>
    </w:pPr>
  </w:style>
  <w:style w:type="paragraph" w:styleId="Sinespaciado">
    <w:name w:val="No Spacing"/>
    <w:uiPriority w:val="1"/>
    <w:rsid w:val="00283233"/>
    <w:rPr>
      <w:rFonts w:ascii="Times New Roman" w:hAnsi="Times New Roman"/>
      <w:sz w:val="22"/>
      <w:lang w:val="en-US" w:eastAsia="en-US"/>
    </w:rPr>
  </w:style>
  <w:style w:type="character" w:customStyle="1" w:styleId="TextoindependienteCar">
    <w:name w:val="Texto independiente Car"/>
    <w:basedOn w:val="Fuentedeprrafopredeter"/>
    <w:link w:val="Textoindependiente"/>
    <w:uiPriority w:val="99"/>
    <w:rsid w:val="00BD14D3"/>
    <w:rPr>
      <w:rFonts w:ascii="Times New Roman" w:hAnsi="Times New Roman"/>
      <w:sz w:val="22"/>
      <w:lang w:val="es-ES" w:eastAsia="en-US"/>
    </w:rPr>
  </w:style>
  <w:style w:type="character" w:customStyle="1" w:styleId="Ttulo1Car">
    <w:name w:val="Título 1 Car"/>
    <w:basedOn w:val="Fuentedeprrafopredeter"/>
    <w:link w:val="Ttulo1"/>
    <w:uiPriority w:val="9"/>
    <w:rsid w:val="00BD14D3"/>
    <w:rPr>
      <w:rFonts w:ascii="Times New Roman" w:hAnsi="Times New Roman"/>
      <w:b/>
      <w:sz w:val="32"/>
      <w:lang w:val="es-ES" w:eastAsia="en-US"/>
    </w:rPr>
  </w:style>
  <w:style w:type="character" w:styleId="Refdecomentario">
    <w:name w:val="annotation reference"/>
    <w:basedOn w:val="Fuentedeprrafopredeter"/>
    <w:uiPriority w:val="99"/>
    <w:semiHidden/>
    <w:unhideWhenUsed/>
    <w:rsid w:val="00BD14D3"/>
    <w:rPr>
      <w:sz w:val="16"/>
      <w:szCs w:val="16"/>
    </w:rPr>
  </w:style>
  <w:style w:type="paragraph" w:styleId="Textocomentario">
    <w:name w:val="annotation text"/>
    <w:basedOn w:val="Normal"/>
    <w:link w:val="TextocomentarioCar"/>
    <w:uiPriority w:val="99"/>
    <w:semiHidden/>
    <w:unhideWhenUsed/>
    <w:rsid w:val="00BD14D3"/>
    <w:pPr>
      <w:spacing w:after="200"/>
    </w:pPr>
    <w:rPr>
      <w:rFonts w:ascii="Calibri" w:eastAsia="Calibri" w:hAnsi="Calibri"/>
      <w:sz w:val="20"/>
    </w:rPr>
  </w:style>
  <w:style w:type="character" w:customStyle="1" w:styleId="TextocomentarioCar">
    <w:name w:val="Texto comentario Car"/>
    <w:basedOn w:val="Fuentedeprrafopredeter"/>
    <w:link w:val="Textocomentario"/>
    <w:uiPriority w:val="99"/>
    <w:semiHidden/>
    <w:rsid w:val="00BD14D3"/>
    <w:rPr>
      <w:rFonts w:ascii="Calibri" w:eastAsia="Calibri" w:hAnsi="Calibri"/>
      <w:lang w:val="es-ES" w:eastAsia="en-US"/>
    </w:rPr>
  </w:style>
  <w:style w:type="character" w:customStyle="1" w:styleId="TextonotapieCar">
    <w:name w:val="Texto nota pie Car"/>
    <w:basedOn w:val="Fuentedeprrafopredeter"/>
    <w:link w:val="Textonotapie"/>
    <w:uiPriority w:val="99"/>
    <w:semiHidden/>
    <w:rsid w:val="009B6FC8"/>
    <w:rPr>
      <w:rFonts w:ascii="Times New Roman" w:hAnsi="Times New Roman"/>
      <w:sz w:val="18"/>
      <w:lang w:val="es-ES" w:eastAsia="en-US"/>
    </w:rPr>
  </w:style>
  <w:style w:type="character" w:styleId="Refdenotaalpie">
    <w:name w:val="footnote reference"/>
    <w:basedOn w:val="Fuentedeprrafopredeter"/>
    <w:uiPriority w:val="99"/>
    <w:semiHidden/>
    <w:unhideWhenUsed/>
    <w:rsid w:val="009B6FC8"/>
    <w:rPr>
      <w:vertAlign w:val="superscript"/>
    </w:rPr>
  </w:style>
  <w:style w:type="table" w:styleId="Tablaconcuadrcula">
    <w:name w:val="Table Grid"/>
    <w:basedOn w:val="Tablanormal"/>
    <w:uiPriority w:val="39"/>
    <w:rsid w:val="006F7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90E0B"/>
    <w:rPr>
      <w:color w:val="0000FF"/>
      <w:u w:val="single"/>
    </w:rPr>
  </w:style>
  <w:style w:type="paragraph" w:styleId="NormalWeb">
    <w:name w:val="Normal (Web)"/>
    <w:basedOn w:val="Normal"/>
    <w:uiPriority w:val="99"/>
    <w:unhideWhenUsed/>
    <w:rsid w:val="00783F04"/>
    <w:pPr>
      <w:spacing w:before="100" w:beforeAutospacing="1" w:after="100" w:afterAutospacing="1"/>
    </w:pPr>
    <w:rPr>
      <w:rFonts w:eastAsiaTheme="minorEastAsia"/>
      <w:sz w:val="24"/>
      <w:szCs w:val="24"/>
      <w:lang w:eastAsia="es-ES"/>
    </w:rPr>
  </w:style>
  <w:style w:type="paragraph" w:customStyle="1" w:styleId="Default">
    <w:name w:val="Default"/>
    <w:rsid w:val="00EF6D7F"/>
    <w:pPr>
      <w:autoSpaceDE w:val="0"/>
      <w:autoSpaceDN w:val="0"/>
      <w:adjustRightInd w:val="0"/>
    </w:pPr>
    <w:rPr>
      <w:rFonts w:ascii="Arial" w:hAnsi="Arial" w:cs="Arial"/>
      <w:color w:val="000000"/>
      <w:sz w:val="24"/>
      <w:szCs w:val="24"/>
      <w:lang w:val="es-ES"/>
    </w:rPr>
  </w:style>
  <w:style w:type="paragraph" w:customStyle="1" w:styleId="Pa9">
    <w:name w:val="Pa9"/>
    <w:basedOn w:val="Default"/>
    <w:next w:val="Default"/>
    <w:uiPriority w:val="99"/>
    <w:rsid w:val="00EF6D7F"/>
    <w:pPr>
      <w:spacing w:line="201" w:lineRule="atLeast"/>
    </w:pPr>
    <w:rPr>
      <w:color w:val="auto"/>
    </w:rPr>
  </w:style>
  <w:style w:type="table" w:customStyle="1" w:styleId="KPMGtable">
    <w:name w:val="_KPMG table"/>
    <w:uiPriority w:val="99"/>
    <w:rsid w:val="005A10B4"/>
    <w:pPr>
      <w:spacing w:line="180" w:lineRule="atLeast"/>
    </w:pPr>
    <w:rPr>
      <w:rFonts w:ascii="Univers 45 Light" w:hAnsi="Univers 45 Light"/>
      <w:sz w:val="18"/>
      <w:lang w:val="en-GB" w:eastAsia="en-GB"/>
    </w:rPr>
    <w:tblPr>
      <w:tblInd w:w="0" w:type="dxa"/>
      <w:tblBorders>
        <w:bottom w:val="single" w:sz="12" w:space="0" w:color="409DAD"/>
      </w:tblBorders>
      <w:tblCellMar>
        <w:top w:w="28" w:type="dxa"/>
        <w:left w:w="28" w:type="dxa"/>
        <w:bottom w:w="28" w:type="dxa"/>
        <w:right w:w="28" w:type="dxa"/>
      </w:tblCellMar>
    </w:tblPr>
    <w:tblStylePr w:type="firstRow">
      <w:pPr>
        <w:jc w:val="left"/>
      </w:pPr>
      <w:rPr>
        <w:rFonts w:ascii="Univers 45 Light" w:hAnsi="Univers 45 Light" w:cs="Times New Roman"/>
        <w:b w:val="0"/>
        <w:i w:val="0"/>
        <w:color w:val="FFFFFF"/>
        <w:sz w:val="18"/>
      </w:rPr>
      <w:tblPr/>
      <w:tcPr>
        <w:shd w:val="clear" w:color="auto" w:fill="409DA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qFormat="1"/>
    <w:lsdException w:name="List Bullet 2" w:uiPriority="0" w:qFormat="1"/>
    <w:lsdException w:name="List Bullet 3" w:uiPriority="0" w:qFormat="1"/>
    <w:lsdException w:name="Title" w:semiHidden="0" w:uiPriority="10" w:unhideWhenUsed="0"/>
    <w:lsdException w:name="Default Paragraph Font" w:uiPriority="1"/>
    <w:lsdException w:name="Body Text" w:qFormat="1"/>
    <w:lsdException w:name="Subtitle" w:semiHidden="0" w:uiPriority="11" w:unhideWhenUsed="0"/>
    <w:lsdException w:name="Body Text 3" w:uiPriority="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B633E"/>
    <w:rPr>
      <w:rFonts w:ascii="Times New Roman" w:hAnsi="Times New Roman"/>
      <w:sz w:val="22"/>
      <w:lang w:val="es-ES" w:eastAsia="en-US"/>
    </w:rPr>
  </w:style>
  <w:style w:type="paragraph" w:styleId="Ttulo1">
    <w:name w:val="heading 1"/>
    <w:basedOn w:val="Ttulo2"/>
    <w:next w:val="Textoindependiente"/>
    <w:link w:val="Ttulo1Car"/>
    <w:uiPriority w:val="9"/>
    <w:qFormat/>
    <w:rsid w:val="001C49E5"/>
    <w:pPr>
      <w:pageBreakBefore/>
      <w:numPr>
        <w:ilvl w:val="0"/>
      </w:numPr>
      <w:spacing w:before="0" w:line="360" w:lineRule="exact"/>
      <w:outlineLvl w:val="0"/>
    </w:pPr>
    <w:rPr>
      <w:sz w:val="32"/>
    </w:rPr>
  </w:style>
  <w:style w:type="paragraph" w:styleId="Ttulo2">
    <w:name w:val="heading 2"/>
    <w:basedOn w:val="Textoindependiente"/>
    <w:next w:val="Textoindependiente"/>
    <w:qFormat/>
    <w:rsid w:val="001C49E5"/>
    <w:pPr>
      <w:keepNext/>
      <w:numPr>
        <w:ilvl w:val="1"/>
        <w:numId w:val="4"/>
      </w:numPr>
      <w:spacing w:before="400" w:after="0" w:line="320" w:lineRule="exact"/>
      <w:jc w:val="left"/>
      <w:outlineLvl w:val="1"/>
    </w:pPr>
    <w:rPr>
      <w:b/>
      <w:sz w:val="28"/>
    </w:rPr>
  </w:style>
  <w:style w:type="paragraph" w:styleId="Ttulo3">
    <w:name w:val="heading 3"/>
    <w:basedOn w:val="Ttulo4"/>
    <w:next w:val="Textoindependiente"/>
    <w:qFormat/>
    <w:rsid w:val="001C49E5"/>
    <w:pPr>
      <w:numPr>
        <w:ilvl w:val="2"/>
      </w:numPr>
      <w:outlineLvl w:val="2"/>
    </w:pPr>
    <w:rPr>
      <w:i w:val="0"/>
    </w:rPr>
  </w:style>
  <w:style w:type="paragraph" w:styleId="Ttulo4">
    <w:name w:val="heading 4"/>
    <w:basedOn w:val="Ttulo5"/>
    <w:next w:val="Textoindependiente"/>
    <w:qFormat/>
    <w:rsid w:val="001C49E5"/>
    <w:pPr>
      <w:numPr>
        <w:ilvl w:val="3"/>
        <w:numId w:val="4"/>
      </w:numPr>
      <w:tabs>
        <w:tab w:val="clear" w:pos="20"/>
        <w:tab w:val="left" w:pos="0"/>
      </w:tabs>
      <w:spacing w:line="280" w:lineRule="exact"/>
      <w:outlineLvl w:val="3"/>
    </w:pPr>
    <w:rPr>
      <w:b/>
      <w:sz w:val="24"/>
    </w:rPr>
  </w:style>
  <w:style w:type="paragraph" w:styleId="Ttulo5">
    <w:name w:val="heading 5"/>
    <w:basedOn w:val="Textoindependiente"/>
    <w:next w:val="Textoindependiente"/>
    <w:qFormat/>
    <w:rsid w:val="001C49E5"/>
    <w:pPr>
      <w:keepNext/>
      <w:spacing w:before="400" w:after="0" w:line="260" w:lineRule="exact"/>
      <w:jc w:val="left"/>
      <w:outlineLvl w:val="4"/>
    </w:pPr>
    <w:rPr>
      <w:i/>
    </w:rPr>
  </w:style>
  <w:style w:type="paragraph" w:styleId="Ttulo6">
    <w:name w:val="heading 6"/>
    <w:basedOn w:val="Normal"/>
    <w:next w:val="Normal"/>
    <w:rsid w:val="001C49E5"/>
    <w:pPr>
      <w:outlineLvl w:val="5"/>
    </w:pPr>
  </w:style>
  <w:style w:type="paragraph" w:styleId="Ttulo7">
    <w:name w:val="heading 7"/>
    <w:basedOn w:val="Normal"/>
    <w:next w:val="Normal"/>
    <w:rsid w:val="001C49E5"/>
    <w:pPr>
      <w:outlineLvl w:val="6"/>
    </w:pPr>
  </w:style>
  <w:style w:type="paragraph" w:styleId="Ttulo8">
    <w:name w:val="heading 8"/>
    <w:basedOn w:val="Normal"/>
    <w:next w:val="Normal"/>
    <w:rsid w:val="001C49E5"/>
    <w:pPr>
      <w:outlineLvl w:val="7"/>
    </w:pPr>
  </w:style>
  <w:style w:type="paragraph" w:styleId="Ttulo9">
    <w:name w:val="heading 9"/>
    <w:basedOn w:val="Normal"/>
    <w:next w:val="Normal"/>
    <w:rsid w:val="001C49E5"/>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1C49E5"/>
    <w:pPr>
      <w:spacing w:before="130" w:after="130"/>
      <w:jc w:val="both"/>
    </w:pPr>
  </w:style>
  <w:style w:type="paragraph" w:styleId="TDC4">
    <w:name w:val="toc 4"/>
    <w:basedOn w:val="TDC3"/>
    <w:semiHidden/>
    <w:rsid w:val="001C49E5"/>
  </w:style>
  <w:style w:type="paragraph" w:styleId="TDC3">
    <w:name w:val="toc 3"/>
    <w:basedOn w:val="TDC2"/>
    <w:uiPriority w:val="39"/>
    <w:rsid w:val="001C49E5"/>
    <w:pPr>
      <w:tabs>
        <w:tab w:val="left" w:pos="1418"/>
      </w:tabs>
      <w:ind w:left="1418" w:hanging="1418"/>
    </w:pPr>
  </w:style>
  <w:style w:type="paragraph" w:styleId="TDC2">
    <w:name w:val="toc 2"/>
    <w:basedOn w:val="TDC1"/>
    <w:uiPriority w:val="39"/>
    <w:rsid w:val="001C49E5"/>
    <w:pPr>
      <w:spacing w:before="0"/>
    </w:pPr>
    <w:rPr>
      <w:sz w:val="24"/>
    </w:rPr>
  </w:style>
  <w:style w:type="paragraph" w:styleId="TDC1">
    <w:name w:val="toc 1"/>
    <w:basedOn w:val="Normal"/>
    <w:uiPriority w:val="39"/>
    <w:rsid w:val="001C49E5"/>
    <w:pPr>
      <w:tabs>
        <w:tab w:val="right" w:pos="8505"/>
      </w:tabs>
      <w:spacing w:before="260"/>
      <w:ind w:left="850" w:right="567" w:hanging="850"/>
    </w:pPr>
    <w:rPr>
      <w:sz w:val="28"/>
    </w:rPr>
  </w:style>
  <w:style w:type="paragraph" w:styleId="Piedepgina">
    <w:name w:val="footer"/>
    <w:basedOn w:val="Normal"/>
    <w:semiHidden/>
    <w:rsid w:val="001C49E5"/>
    <w:pPr>
      <w:tabs>
        <w:tab w:val="right" w:pos="8222"/>
      </w:tabs>
    </w:pPr>
    <w:rPr>
      <w:sz w:val="18"/>
    </w:rPr>
  </w:style>
  <w:style w:type="paragraph" w:styleId="Encabezado">
    <w:name w:val="header"/>
    <w:basedOn w:val="Normal"/>
    <w:semiHidden/>
    <w:rsid w:val="001C49E5"/>
    <w:pPr>
      <w:spacing w:line="220" w:lineRule="atLeast"/>
      <w:jc w:val="right"/>
    </w:pPr>
    <w:rPr>
      <w:i/>
      <w:sz w:val="18"/>
    </w:rPr>
  </w:style>
  <w:style w:type="paragraph" w:styleId="Listaconvietas">
    <w:name w:val="List Bullet"/>
    <w:basedOn w:val="Textoindependiente"/>
    <w:qFormat/>
    <w:rsid w:val="001C49E5"/>
    <w:pPr>
      <w:numPr>
        <w:numId w:val="26"/>
      </w:numPr>
    </w:pPr>
  </w:style>
  <w:style w:type="paragraph" w:styleId="Listaconvietas2">
    <w:name w:val="List Bullet 2"/>
    <w:basedOn w:val="Listaconvietas"/>
    <w:qFormat/>
    <w:rsid w:val="001C49E5"/>
    <w:pPr>
      <w:numPr>
        <w:numId w:val="2"/>
      </w:numPr>
    </w:pPr>
  </w:style>
  <w:style w:type="paragraph" w:customStyle="1" w:styleId="zreportname">
    <w:name w:val="zreport name"/>
    <w:basedOn w:val="Normal"/>
    <w:semiHidden/>
    <w:rsid w:val="001C49E5"/>
    <w:pPr>
      <w:keepLines/>
      <w:spacing w:line="440" w:lineRule="exact"/>
      <w:jc w:val="center"/>
    </w:pPr>
    <w:rPr>
      <w:sz w:val="36"/>
    </w:rPr>
  </w:style>
  <w:style w:type="paragraph" w:customStyle="1" w:styleId="zcontents">
    <w:name w:val="zcontents"/>
    <w:basedOn w:val="Normal"/>
    <w:semiHidden/>
    <w:rsid w:val="001C49E5"/>
    <w:pPr>
      <w:spacing w:after="260"/>
    </w:pPr>
    <w:rPr>
      <w:b/>
      <w:sz w:val="32"/>
    </w:rPr>
  </w:style>
  <w:style w:type="paragraph" w:customStyle="1" w:styleId="zcompanyname">
    <w:name w:val="zcompany name"/>
    <w:basedOn w:val="Normal"/>
    <w:semiHidden/>
    <w:rsid w:val="001C49E5"/>
    <w:pPr>
      <w:spacing w:after="400" w:line="440" w:lineRule="exact"/>
      <w:jc w:val="center"/>
    </w:pPr>
    <w:rPr>
      <w:b/>
      <w:noProof/>
      <w:sz w:val="26"/>
    </w:rPr>
  </w:style>
  <w:style w:type="paragraph" w:styleId="Textonotapie">
    <w:name w:val="footnote text"/>
    <w:basedOn w:val="Normal"/>
    <w:link w:val="TextonotapieCar"/>
    <w:uiPriority w:val="99"/>
    <w:semiHidden/>
    <w:rsid w:val="001C49E5"/>
    <w:rPr>
      <w:sz w:val="18"/>
    </w:rPr>
  </w:style>
  <w:style w:type="paragraph" w:customStyle="1" w:styleId="zreportsubtitle">
    <w:name w:val="zreport subtitle"/>
    <w:basedOn w:val="zreportname"/>
    <w:semiHidden/>
    <w:rsid w:val="001C49E5"/>
    <w:rPr>
      <w:sz w:val="32"/>
    </w:rPr>
  </w:style>
  <w:style w:type="paragraph" w:styleId="Sangradetextonormal">
    <w:name w:val="Body Text Indent"/>
    <w:basedOn w:val="Textoindependiente"/>
    <w:semiHidden/>
    <w:rsid w:val="001C49E5"/>
    <w:pPr>
      <w:ind w:left="340"/>
    </w:pPr>
  </w:style>
  <w:style w:type="paragraph" w:styleId="ndice1">
    <w:name w:val="index 1"/>
    <w:basedOn w:val="Normal"/>
    <w:next w:val="Normal"/>
    <w:semiHidden/>
    <w:rsid w:val="001C49E5"/>
    <w:pPr>
      <w:keepNext/>
      <w:spacing w:before="260" w:line="280" w:lineRule="exact"/>
      <w:ind w:right="851"/>
    </w:pPr>
    <w:rPr>
      <w:b/>
      <w:sz w:val="24"/>
    </w:rPr>
  </w:style>
  <w:style w:type="paragraph" w:customStyle="1" w:styleId="Graphic">
    <w:name w:val="Graphic"/>
    <w:basedOn w:val="Firma"/>
    <w:next w:val="Epgrafe"/>
    <w:qFormat/>
    <w:rsid w:val="001C49E5"/>
    <w:pPr>
      <w:pBdr>
        <w:top w:val="single" w:sz="4" w:space="1" w:color="auto"/>
        <w:left w:val="single" w:sz="4" w:space="1" w:color="auto"/>
        <w:bottom w:val="single" w:sz="4" w:space="1" w:color="auto"/>
        <w:right w:val="single" w:sz="4" w:space="1" w:color="auto"/>
      </w:pBdr>
      <w:jc w:val="center"/>
    </w:pPr>
  </w:style>
  <w:style w:type="paragraph" w:styleId="Firma">
    <w:name w:val="Signature"/>
    <w:basedOn w:val="Normal"/>
    <w:semiHidden/>
    <w:rsid w:val="001C49E5"/>
  </w:style>
  <w:style w:type="character" w:styleId="Nmerodepgina">
    <w:name w:val="page number"/>
    <w:basedOn w:val="Fuentedeprrafopredeter"/>
    <w:semiHidden/>
    <w:rsid w:val="001C49E5"/>
    <w:rPr>
      <w:sz w:val="22"/>
    </w:rPr>
  </w:style>
  <w:style w:type="paragraph" w:styleId="ndice2">
    <w:name w:val="index 2"/>
    <w:basedOn w:val="Normal"/>
    <w:next w:val="Normal"/>
    <w:semiHidden/>
    <w:rsid w:val="001C49E5"/>
    <w:pPr>
      <w:ind w:left="340" w:right="851"/>
    </w:pPr>
  </w:style>
  <w:style w:type="paragraph" w:customStyle="1" w:styleId="zreportaddinfo">
    <w:name w:val="zreport addinfo"/>
    <w:basedOn w:val="Normal"/>
    <w:uiPriority w:val="99"/>
    <w:semiHidden/>
    <w:rsid w:val="001C49E5"/>
    <w:pPr>
      <w:framePr w:wrap="around" w:hAnchor="margin" w:xAlign="center" w:yAlign="bottom"/>
      <w:spacing w:line="240" w:lineRule="exact"/>
      <w:jc w:val="center"/>
    </w:pPr>
    <w:rPr>
      <w:noProof/>
      <w:sz w:val="20"/>
    </w:rPr>
  </w:style>
  <w:style w:type="character" w:styleId="nfasis">
    <w:name w:val="Emphasis"/>
    <w:basedOn w:val="Fuentedeprrafopredeter"/>
    <w:uiPriority w:val="20"/>
    <w:rsid w:val="00283233"/>
    <w:rPr>
      <w:i/>
      <w:iCs/>
    </w:rPr>
  </w:style>
  <w:style w:type="paragraph" w:customStyle="1" w:styleId="AppendixHeading">
    <w:name w:val="Appendix Heading"/>
    <w:basedOn w:val="Ttulo1"/>
    <w:next w:val="Textoindependiente"/>
    <w:qFormat/>
    <w:rsid w:val="001C49E5"/>
    <w:pPr>
      <w:numPr>
        <w:numId w:val="5"/>
      </w:numPr>
      <w:outlineLvl w:val="9"/>
    </w:pPr>
  </w:style>
  <w:style w:type="paragraph" w:styleId="Listaconvietas3">
    <w:name w:val="List Bullet 3"/>
    <w:basedOn w:val="Listaconvietas"/>
    <w:qFormat/>
    <w:rsid w:val="001C49E5"/>
    <w:pPr>
      <w:numPr>
        <w:numId w:val="7"/>
      </w:numPr>
      <w:jc w:val="left"/>
    </w:pPr>
    <w:rPr>
      <w:sz w:val="18"/>
    </w:rPr>
  </w:style>
  <w:style w:type="paragraph" w:customStyle="1" w:styleId="AppendixHeading2">
    <w:name w:val="Appendix Heading 2"/>
    <w:basedOn w:val="Ttulo2"/>
    <w:next w:val="Textoindependiente"/>
    <w:qFormat/>
    <w:rsid w:val="001C49E5"/>
    <w:pPr>
      <w:numPr>
        <w:numId w:val="5"/>
      </w:numPr>
      <w:outlineLvl w:val="9"/>
    </w:pPr>
  </w:style>
  <w:style w:type="paragraph" w:customStyle="1" w:styleId="AppendixHeading3">
    <w:name w:val="Appendix Heading 3"/>
    <w:basedOn w:val="Ttulo3"/>
    <w:next w:val="Textoindependiente"/>
    <w:qFormat/>
    <w:rsid w:val="001C49E5"/>
    <w:pPr>
      <w:numPr>
        <w:numId w:val="5"/>
      </w:numPr>
      <w:outlineLvl w:val="9"/>
    </w:pPr>
  </w:style>
  <w:style w:type="paragraph" w:customStyle="1" w:styleId="AppendixHeading4">
    <w:name w:val="Appendix Heading 4"/>
    <w:basedOn w:val="Ttulo4"/>
    <w:next w:val="Textoindependiente"/>
    <w:qFormat/>
    <w:rsid w:val="001C49E5"/>
    <w:pPr>
      <w:numPr>
        <w:numId w:val="5"/>
      </w:numPr>
      <w:outlineLvl w:val="9"/>
    </w:pPr>
  </w:style>
  <w:style w:type="paragraph" w:customStyle="1" w:styleId="AppendixHeading5">
    <w:name w:val="Appendix Heading 5"/>
    <w:basedOn w:val="Ttulo5"/>
    <w:next w:val="Textoindependiente"/>
    <w:qFormat/>
    <w:rsid w:val="001C49E5"/>
    <w:pPr>
      <w:outlineLvl w:val="9"/>
    </w:pPr>
  </w:style>
  <w:style w:type="paragraph" w:styleId="Textoindependiente3">
    <w:name w:val="Body Text 3"/>
    <w:basedOn w:val="Normal"/>
    <w:qFormat/>
    <w:rsid w:val="001C49E5"/>
    <w:pPr>
      <w:ind w:left="142" w:hanging="142"/>
    </w:pPr>
    <w:rPr>
      <w:sz w:val="18"/>
      <w:szCs w:val="16"/>
    </w:rPr>
  </w:style>
  <w:style w:type="paragraph" w:styleId="Epgrafe">
    <w:name w:val="caption"/>
    <w:basedOn w:val="Normal"/>
    <w:next w:val="Textoindependiente"/>
    <w:qFormat/>
    <w:rsid w:val="001C49E5"/>
    <w:rPr>
      <w:bCs/>
      <w:i/>
      <w:sz w:val="14"/>
    </w:rPr>
  </w:style>
  <w:style w:type="paragraph" w:styleId="Listaconvietas4">
    <w:name w:val="List Bullet 4"/>
    <w:basedOn w:val="Listaconvietas2"/>
    <w:rsid w:val="001C49E5"/>
    <w:pPr>
      <w:numPr>
        <w:numId w:val="9"/>
      </w:numPr>
      <w:jc w:val="left"/>
    </w:pPr>
    <w:rPr>
      <w:sz w:val="18"/>
    </w:rPr>
  </w:style>
  <w:style w:type="paragraph" w:customStyle="1" w:styleId="zDocRevwH2">
    <w:name w:val="zDocRevwH2"/>
    <w:basedOn w:val="Normal"/>
    <w:semiHidden/>
    <w:rsid w:val="001C49E5"/>
    <w:pPr>
      <w:spacing w:before="130" w:after="130"/>
    </w:pPr>
    <w:rPr>
      <w:b/>
      <w:sz w:val="28"/>
    </w:rPr>
  </w:style>
  <w:style w:type="paragraph" w:customStyle="1" w:styleId="zDocRevwH1">
    <w:name w:val="zDocRevwH1"/>
    <w:basedOn w:val="Normal"/>
    <w:semiHidden/>
    <w:rsid w:val="001C49E5"/>
    <w:pPr>
      <w:spacing w:before="130" w:after="130"/>
    </w:pPr>
    <w:rPr>
      <w:b/>
      <w:sz w:val="32"/>
    </w:rPr>
  </w:style>
  <w:style w:type="paragraph" w:styleId="Textodeglobo">
    <w:name w:val="Balloon Text"/>
    <w:basedOn w:val="Normal"/>
    <w:semiHidden/>
    <w:rsid w:val="001C49E5"/>
    <w:rPr>
      <w:rFonts w:ascii="Tahoma" w:hAnsi="Tahoma" w:cs="Tahoma"/>
      <w:sz w:val="16"/>
      <w:szCs w:val="16"/>
    </w:rPr>
  </w:style>
  <w:style w:type="character" w:styleId="Textoennegrita">
    <w:name w:val="Strong"/>
    <w:basedOn w:val="Fuentedeprrafopredeter"/>
    <w:uiPriority w:val="22"/>
    <w:rsid w:val="00283233"/>
    <w:rPr>
      <w:b/>
      <w:bCs/>
    </w:rPr>
  </w:style>
  <w:style w:type="paragraph" w:styleId="Ttulo">
    <w:name w:val="Title"/>
    <w:basedOn w:val="Normal"/>
    <w:next w:val="Normal"/>
    <w:link w:val="TtuloCar"/>
    <w:uiPriority w:val="10"/>
    <w:rsid w:val="002832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83233"/>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tulo">
    <w:name w:val="Subtitle"/>
    <w:basedOn w:val="Normal"/>
    <w:next w:val="Normal"/>
    <w:link w:val="SubttuloCar"/>
    <w:uiPriority w:val="11"/>
    <w:rsid w:val="002832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83233"/>
    <w:rPr>
      <w:rFonts w:asciiTheme="majorHAnsi" w:eastAsiaTheme="majorEastAsia" w:hAnsiTheme="majorHAnsi" w:cstheme="majorBidi"/>
      <w:i/>
      <w:iCs/>
      <w:color w:val="4F81BD" w:themeColor="accent1"/>
      <w:spacing w:val="15"/>
      <w:sz w:val="24"/>
      <w:szCs w:val="24"/>
      <w:lang w:val="en-US" w:eastAsia="en-US"/>
    </w:rPr>
  </w:style>
  <w:style w:type="character" w:styleId="nfasissutil">
    <w:name w:val="Subtle Emphasis"/>
    <w:basedOn w:val="Fuentedeprrafopredeter"/>
    <w:uiPriority w:val="19"/>
    <w:rsid w:val="00283233"/>
    <w:rPr>
      <w:i/>
      <w:iCs/>
      <w:color w:val="808080" w:themeColor="text1" w:themeTint="7F"/>
    </w:rPr>
  </w:style>
  <w:style w:type="character" w:styleId="nfasisintenso">
    <w:name w:val="Intense Emphasis"/>
    <w:basedOn w:val="Fuentedeprrafopredeter"/>
    <w:uiPriority w:val="21"/>
    <w:rsid w:val="00283233"/>
    <w:rPr>
      <w:b/>
      <w:bCs/>
      <w:i/>
      <w:iCs/>
      <w:color w:val="4F81BD" w:themeColor="accent1"/>
    </w:rPr>
  </w:style>
  <w:style w:type="paragraph" w:styleId="Cita">
    <w:name w:val="Quote"/>
    <w:basedOn w:val="Normal"/>
    <w:next w:val="Normal"/>
    <w:link w:val="CitaCar"/>
    <w:uiPriority w:val="29"/>
    <w:rsid w:val="00283233"/>
    <w:rPr>
      <w:i/>
      <w:iCs/>
      <w:color w:val="000000" w:themeColor="text1"/>
    </w:rPr>
  </w:style>
  <w:style w:type="character" w:customStyle="1" w:styleId="CitaCar">
    <w:name w:val="Cita Car"/>
    <w:basedOn w:val="Fuentedeprrafopredeter"/>
    <w:link w:val="Cita"/>
    <w:uiPriority w:val="29"/>
    <w:rsid w:val="00283233"/>
    <w:rPr>
      <w:rFonts w:ascii="Times New Roman" w:hAnsi="Times New Roman"/>
      <w:i/>
      <w:iCs/>
      <w:color w:val="000000" w:themeColor="text1"/>
      <w:sz w:val="22"/>
      <w:lang w:val="en-US" w:eastAsia="en-US"/>
    </w:rPr>
  </w:style>
  <w:style w:type="paragraph" w:styleId="Citadestacada">
    <w:name w:val="Intense Quote"/>
    <w:basedOn w:val="Normal"/>
    <w:next w:val="Normal"/>
    <w:link w:val="CitadestacadaCar"/>
    <w:uiPriority w:val="30"/>
    <w:rsid w:val="0028323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83233"/>
    <w:rPr>
      <w:rFonts w:ascii="Times New Roman" w:hAnsi="Times New Roman"/>
      <w:b/>
      <w:bCs/>
      <w:i/>
      <w:iCs/>
      <w:color w:val="4F81BD" w:themeColor="accent1"/>
      <w:sz w:val="22"/>
      <w:lang w:val="en-US" w:eastAsia="en-US"/>
    </w:rPr>
  </w:style>
  <w:style w:type="character" w:styleId="Referenciasutil">
    <w:name w:val="Subtle Reference"/>
    <w:basedOn w:val="Fuentedeprrafopredeter"/>
    <w:uiPriority w:val="31"/>
    <w:rsid w:val="00283233"/>
    <w:rPr>
      <w:smallCaps/>
      <w:color w:val="C0504D" w:themeColor="accent2"/>
      <w:u w:val="single"/>
    </w:rPr>
  </w:style>
  <w:style w:type="character" w:styleId="Referenciaintensa">
    <w:name w:val="Intense Reference"/>
    <w:basedOn w:val="Fuentedeprrafopredeter"/>
    <w:uiPriority w:val="32"/>
    <w:rsid w:val="00283233"/>
    <w:rPr>
      <w:b/>
      <w:bCs/>
      <w:smallCaps/>
      <w:color w:val="C0504D" w:themeColor="accent2"/>
      <w:spacing w:val="5"/>
      <w:u w:val="single"/>
    </w:rPr>
  </w:style>
  <w:style w:type="character" w:styleId="Ttulodellibro">
    <w:name w:val="Book Title"/>
    <w:basedOn w:val="Fuentedeprrafopredeter"/>
    <w:uiPriority w:val="33"/>
    <w:rsid w:val="00283233"/>
    <w:rPr>
      <w:b/>
      <w:bCs/>
      <w:smallCaps/>
      <w:spacing w:val="5"/>
    </w:rPr>
  </w:style>
  <w:style w:type="paragraph" w:styleId="Prrafodelista">
    <w:name w:val="List Paragraph"/>
    <w:basedOn w:val="Normal"/>
    <w:uiPriority w:val="34"/>
    <w:qFormat/>
    <w:rsid w:val="00283233"/>
    <w:pPr>
      <w:ind w:left="720"/>
      <w:contextualSpacing/>
    </w:pPr>
  </w:style>
  <w:style w:type="paragraph" w:styleId="Sinespaciado">
    <w:name w:val="No Spacing"/>
    <w:uiPriority w:val="1"/>
    <w:rsid w:val="00283233"/>
    <w:rPr>
      <w:rFonts w:ascii="Times New Roman" w:hAnsi="Times New Roman"/>
      <w:sz w:val="22"/>
      <w:lang w:val="en-US" w:eastAsia="en-US"/>
    </w:rPr>
  </w:style>
  <w:style w:type="character" w:customStyle="1" w:styleId="TextoindependienteCar">
    <w:name w:val="Texto independiente Car"/>
    <w:basedOn w:val="Fuentedeprrafopredeter"/>
    <w:link w:val="Textoindependiente"/>
    <w:uiPriority w:val="99"/>
    <w:rsid w:val="00BD14D3"/>
    <w:rPr>
      <w:rFonts w:ascii="Times New Roman" w:hAnsi="Times New Roman"/>
      <w:sz w:val="22"/>
      <w:lang w:val="es-ES" w:eastAsia="en-US"/>
    </w:rPr>
  </w:style>
  <w:style w:type="character" w:customStyle="1" w:styleId="Ttulo1Car">
    <w:name w:val="Título 1 Car"/>
    <w:basedOn w:val="Fuentedeprrafopredeter"/>
    <w:link w:val="Ttulo1"/>
    <w:uiPriority w:val="9"/>
    <w:rsid w:val="00BD14D3"/>
    <w:rPr>
      <w:rFonts w:ascii="Times New Roman" w:hAnsi="Times New Roman"/>
      <w:b/>
      <w:sz w:val="32"/>
      <w:lang w:val="es-ES" w:eastAsia="en-US"/>
    </w:rPr>
  </w:style>
  <w:style w:type="character" w:styleId="Refdecomentario">
    <w:name w:val="annotation reference"/>
    <w:basedOn w:val="Fuentedeprrafopredeter"/>
    <w:uiPriority w:val="99"/>
    <w:semiHidden/>
    <w:unhideWhenUsed/>
    <w:rsid w:val="00BD14D3"/>
    <w:rPr>
      <w:sz w:val="16"/>
      <w:szCs w:val="16"/>
    </w:rPr>
  </w:style>
  <w:style w:type="paragraph" w:styleId="Textocomentario">
    <w:name w:val="annotation text"/>
    <w:basedOn w:val="Normal"/>
    <w:link w:val="TextocomentarioCar"/>
    <w:uiPriority w:val="99"/>
    <w:semiHidden/>
    <w:unhideWhenUsed/>
    <w:rsid w:val="00BD14D3"/>
    <w:pPr>
      <w:spacing w:after="200"/>
    </w:pPr>
    <w:rPr>
      <w:rFonts w:ascii="Calibri" w:eastAsia="Calibri" w:hAnsi="Calibri"/>
      <w:sz w:val="20"/>
    </w:rPr>
  </w:style>
  <w:style w:type="character" w:customStyle="1" w:styleId="TextocomentarioCar">
    <w:name w:val="Texto comentario Car"/>
    <w:basedOn w:val="Fuentedeprrafopredeter"/>
    <w:link w:val="Textocomentario"/>
    <w:uiPriority w:val="99"/>
    <w:semiHidden/>
    <w:rsid w:val="00BD14D3"/>
    <w:rPr>
      <w:rFonts w:ascii="Calibri" w:eastAsia="Calibri" w:hAnsi="Calibri"/>
      <w:lang w:val="es-ES" w:eastAsia="en-US"/>
    </w:rPr>
  </w:style>
  <w:style w:type="character" w:customStyle="1" w:styleId="TextonotapieCar">
    <w:name w:val="Texto nota pie Car"/>
    <w:basedOn w:val="Fuentedeprrafopredeter"/>
    <w:link w:val="Textonotapie"/>
    <w:uiPriority w:val="99"/>
    <w:semiHidden/>
    <w:rsid w:val="009B6FC8"/>
    <w:rPr>
      <w:rFonts w:ascii="Times New Roman" w:hAnsi="Times New Roman"/>
      <w:sz w:val="18"/>
      <w:lang w:val="es-ES" w:eastAsia="en-US"/>
    </w:rPr>
  </w:style>
  <w:style w:type="character" w:styleId="Refdenotaalpie">
    <w:name w:val="footnote reference"/>
    <w:basedOn w:val="Fuentedeprrafopredeter"/>
    <w:uiPriority w:val="99"/>
    <w:semiHidden/>
    <w:unhideWhenUsed/>
    <w:rsid w:val="009B6FC8"/>
    <w:rPr>
      <w:vertAlign w:val="superscript"/>
    </w:rPr>
  </w:style>
  <w:style w:type="table" w:styleId="Tablaconcuadrcula">
    <w:name w:val="Table Grid"/>
    <w:basedOn w:val="Tablanormal"/>
    <w:uiPriority w:val="39"/>
    <w:rsid w:val="006F7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90E0B"/>
    <w:rPr>
      <w:color w:val="0000FF"/>
      <w:u w:val="single"/>
    </w:rPr>
  </w:style>
  <w:style w:type="paragraph" w:styleId="NormalWeb">
    <w:name w:val="Normal (Web)"/>
    <w:basedOn w:val="Normal"/>
    <w:uiPriority w:val="99"/>
    <w:unhideWhenUsed/>
    <w:rsid w:val="00783F04"/>
    <w:pPr>
      <w:spacing w:before="100" w:beforeAutospacing="1" w:after="100" w:afterAutospacing="1"/>
    </w:pPr>
    <w:rPr>
      <w:rFonts w:eastAsiaTheme="minorEastAsia"/>
      <w:sz w:val="24"/>
      <w:szCs w:val="24"/>
      <w:lang w:eastAsia="es-ES"/>
    </w:rPr>
  </w:style>
  <w:style w:type="paragraph" w:customStyle="1" w:styleId="Default">
    <w:name w:val="Default"/>
    <w:rsid w:val="00EF6D7F"/>
    <w:pPr>
      <w:autoSpaceDE w:val="0"/>
      <w:autoSpaceDN w:val="0"/>
      <w:adjustRightInd w:val="0"/>
    </w:pPr>
    <w:rPr>
      <w:rFonts w:ascii="Arial" w:hAnsi="Arial" w:cs="Arial"/>
      <w:color w:val="000000"/>
      <w:sz w:val="24"/>
      <w:szCs w:val="24"/>
      <w:lang w:val="es-ES"/>
    </w:rPr>
  </w:style>
  <w:style w:type="paragraph" w:customStyle="1" w:styleId="Pa9">
    <w:name w:val="Pa9"/>
    <w:basedOn w:val="Default"/>
    <w:next w:val="Default"/>
    <w:uiPriority w:val="99"/>
    <w:rsid w:val="00EF6D7F"/>
    <w:pPr>
      <w:spacing w:line="201" w:lineRule="atLeast"/>
    </w:pPr>
    <w:rPr>
      <w:color w:val="auto"/>
    </w:rPr>
  </w:style>
  <w:style w:type="table" w:customStyle="1" w:styleId="KPMGtable">
    <w:name w:val="_KPMG table"/>
    <w:uiPriority w:val="99"/>
    <w:rsid w:val="005A10B4"/>
    <w:pPr>
      <w:spacing w:line="180" w:lineRule="atLeast"/>
    </w:pPr>
    <w:rPr>
      <w:rFonts w:ascii="Univers 45 Light" w:hAnsi="Univers 45 Light"/>
      <w:sz w:val="18"/>
      <w:lang w:val="en-GB" w:eastAsia="en-GB"/>
    </w:rPr>
    <w:tblPr>
      <w:tblInd w:w="0" w:type="dxa"/>
      <w:tblBorders>
        <w:bottom w:val="single" w:sz="12" w:space="0" w:color="409DAD"/>
      </w:tblBorders>
      <w:tblCellMar>
        <w:top w:w="28" w:type="dxa"/>
        <w:left w:w="28" w:type="dxa"/>
        <w:bottom w:w="28" w:type="dxa"/>
        <w:right w:w="28" w:type="dxa"/>
      </w:tblCellMar>
    </w:tblPr>
    <w:tblStylePr w:type="firstRow">
      <w:pPr>
        <w:jc w:val="left"/>
      </w:pPr>
      <w:rPr>
        <w:rFonts w:ascii="Univers 45 Light" w:hAnsi="Univers 45 Light" w:cs="Times New Roman"/>
        <w:b w:val="0"/>
        <w:i w:val="0"/>
        <w:color w:val="FFFFFF"/>
        <w:sz w:val="18"/>
      </w:rPr>
      <w:tblPr/>
      <w:tcPr>
        <w:shd w:val="clear" w:color="auto" w:fill="409DAD"/>
      </w:tcPr>
    </w:tblStylePr>
  </w:style>
</w:styles>
</file>

<file path=word/webSettings.xml><?xml version="1.0" encoding="utf-8"?>
<w:webSettings xmlns:r="http://schemas.openxmlformats.org/officeDocument/2006/relationships" xmlns:w="http://schemas.openxmlformats.org/wordprocessingml/2006/main">
  <w:divs>
    <w:div w:id="732893247">
      <w:bodyDiv w:val="1"/>
      <w:marLeft w:val="0"/>
      <w:marRight w:val="0"/>
      <w:marTop w:val="0"/>
      <w:marBottom w:val="0"/>
      <w:divBdr>
        <w:top w:val="none" w:sz="0" w:space="0" w:color="auto"/>
        <w:left w:val="none" w:sz="0" w:space="0" w:color="auto"/>
        <w:bottom w:val="none" w:sz="0" w:space="0" w:color="auto"/>
        <w:right w:val="none" w:sz="0" w:space="0" w:color="auto"/>
      </w:divBdr>
      <w:divsChild>
        <w:div w:id="1352367928">
          <w:marLeft w:val="274"/>
          <w:marRight w:val="0"/>
          <w:marTop w:val="0"/>
          <w:marBottom w:val="0"/>
          <w:divBdr>
            <w:top w:val="none" w:sz="0" w:space="0" w:color="auto"/>
            <w:left w:val="none" w:sz="0" w:space="0" w:color="auto"/>
            <w:bottom w:val="none" w:sz="0" w:space="0" w:color="auto"/>
            <w:right w:val="none" w:sz="0" w:space="0" w:color="auto"/>
          </w:divBdr>
        </w:div>
        <w:div w:id="1778596069">
          <w:marLeft w:val="274"/>
          <w:marRight w:val="0"/>
          <w:marTop w:val="0"/>
          <w:marBottom w:val="0"/>
          <w:divBdr>
            <w:top w:val="none" w:sz="0" w:space="0" w:color="auto"/>
            <w:left w:val="none" w:sz="0" w:space="0" w:color="auto"/>
            <w:bottom w:val="none" w:sz="0" w:space="0" w:color="auto"/>
            <w:right w:val="none" w:sz="0" w:space="0" w:color="auto"/>
          </w:divBdr>
        </w:div>
        <w:div w:id="832531101">
          <w:marLeft w:val="274"/>
          <w:marRight w:val="0"/>
          <w:marTop w:val="0"/>
          <w:marBottom w:val="0"/>
          <w:divBdr>
            <w:top w:val="none" w:sz="0" w:space="0" w:color="auto"/>
            <w:left w:val="none" w:sz="0" w:space="0" w:color="auto"/>
            <w:bottom w:val="none" w:sz="0" w:space="0" w:color="auto"/>
            <w:right w:val="none" w:sz="0" w:space="0" w:color="auto"/>
          </w:divBdr>
        </w:div>
      </w:divsChild>
    </w:div>
    <w:div w:id="772214107">
      <w:bodyDiv w:val="1"/>
      <w:marLeft w:val="0"/>
      <w:marRight w:val="0"/>
      <w:marTop w:val="0"/>
      <w:marBottom w:val="0"/>
      <w:divBdr>
        <w:top w:val="none" w:sz="0" w:space="0" w:color="auto"/>
        <w:left w:val="none" w:sz="0" w:space="0" w:color="auto"/>
        <w:bottom w:val="none" w:sz="0" w:space="0" w:color="auto"/>
        <w:right w:val="none" w:sz="0" w:space="0" w:color="auto"/>
      </w:divBdr>
    </w:div>
    <w:div w:id="1131903911">
      <w:bodyDiv w:val="1"/>
      <w:marLeft w:val="0"/>
      <w:marRight w:val="0"/>
      <w:marTop w:val="0"/>
      <w:marBottom w:val="0"/>
      <w:divBdr>
        <w:top w:val="none" w:sz="0" w:space="0" w:color="auto"/>
        <w:left w:val="none" w:sz="0" w:space="0" w:color="auto"/>
        <w:bottom w:val="none" w:sz="0" w:space="0" w:color="auto"/>
        <w:right w:val="none" w:sz="0" w:space="0" w:color="auto"/>
      </w:divBdr>
    </w:div>
    <w:div w:id="1406103378">
      <w:bodyDiv w:val="1"/>
      <w:marLeft w:val="0"/>
      <w:marRight w:val="0"/>
      <w:marTop w:val="0"/>
      <w:marBottom w:val="0"/>
      <w:divBdr>
        <w:top w:val="none" w:sz="0" w:space="0" w:color="auto"/>
        <w:left w:val="none" w:sz="0" w:space="0" w:color="auto"/>
        <w:bottom w:val="none" w:sz="0" w:space="0" w:color="auto"/>
        <w:right w:val="none" w:sz="0" w:space="0" w:color="auto"/>
      </w:divBdr>
      <w:divsChild>
        <w:div w:id="844635954">
          <w:marLeft w:val="274"/>
          <w:marRight w:val="0"/>
          <w:marTop w:val="0"/>
          <w:marBottom w:val="0"/>
          <w:divBdr>
            <w:top w:val="none" w:sz="0" w:space="0" w:color="auto"/>
            <w:left w:val="none" w:sz="0" w:space="0" w:color="auto"/>
            <w:bottom w:val="none" w:sz="0" w:space="0" w:color="auto"/>
            <w:right w:val="none" w:sz="0" w:space="0" w:color="auto"/>
          </w:divBdr>
        </w:div>
      </w:divsChild>
    </w:div>
    <w:div w:id="161186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microsoft.com/office/2007/relationships/stylesWithEffects" Target="stylesWithEffects.xml"/><Relationship Id="rId21" Type="http://schemas.openxmlformats.org/officeDocument/2006/relationships/header" Target="header4.xml"/><Relationship Id="rId42" Type="http://schemas.openxmlformats.org/officeDocument/2006/relationships/chart" Target="charts/chart14.xml"/><Relationship Id="rId47" Type="http://schemas.openxmlformats.org/officeDocument/2006/relationships/chart" Target="charts/chart18.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image" Target="media/image22.png"/><Relationship Id="rId89" Type="http://schemas.openxmlformats.org/officeDocument/2006/relationships/image" Target="media/image27.png"/><Relationship Id="rId112" Type="http://schemas.openxmlformats.org/officeDocument/2006/relationships/header" Target="header7.xml"/><Relationship Id="rId16" Type="http://schemas.openxmlformats.org/officeDocument/2006/relationships/header" Target="header2.xml"/><Relationship Id="rId107" Type="http://schemas.openxmlformats.org/officeDocument/2006/relationships/chart" Target="charts/chart66.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image" Target="media/image15.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66" Type="http://schemas.openxmlformats.org/officeDocument/2006/relationships/chart" Target="charts/chart37.xml"/><Relationship Id="rId74" Type="http://schemas.openxmlformats.org/officeDocument/2006/relationships/chart" Target="charts/chart44.xml"/><Relationship Id="rId79" Type="http://schemas.openxmlformats.org/officeDocument/2006/relationships/chart" Target="charts/chart49.xml"/><Relationship Id="rId87" Type="http://schemas.openxmlformats.org/officeDocument/2006/relationships/image" Target="media/image25.png"/><Relationship Id="rId102" Type="http://schemas.openxmlformats.org/officeDocument/2006/relationships/chart" Target="charts/chart61.xml"/><Relationship Id="rId110" Type="http://schemas.openxmlformats.org/officeDocument/2006/relationships/chart" Target="charts/chart69.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32.xml"/><Relationship Id="rId82" Type="http://schemas.openxmlformats.org/officeDocument/2006/relationships/image" Target="media/image20.png"/><Relationship Id="rId90" Type="http://schemas.openxmlformats.org/officeDocument/2006/relationships/image" Target="media/image28.png"/><Relationship Id="rId95" Type="http://schemas.openxmlformats.org/officeDocument/2006/relationships/chart" Target="charts/chart54.xml"/><Relationship Id="rId19" Type="http://schemas.openxmlformats.org/officeDocument/2006/relationships/header" Target="header3.xml"/><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chart" Target="charts/chart7.xml"/><Relationship Id="rId43" Type="http://schemas.openxmlformats.org/officeDocument/2006/relationships/image" Target="media/image16.png"/><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image" Target="media/image17.png"/><Relationship Id="rId77" Type="http://schemas.openxmlformats.org/officeDocument/2006/relationships/chart" Target="charts/chart47.xml"/><Relationship Id="rId100" Type="http://schemas.openxmlformats.org/officeDocument/2006/relationships/chart" Target="charts/chart59.xml"/><Relationship Id="rId105" Type="http://schemas.openxmlformats.org/officeDocument/2006/relationships/chart" Target="charts/chart64.xml"/><Relationship Id="rId113"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chart" Target="charts/chart22.xml"/><Relationship Id="rId72" Type="http://schemas.openxmlformats.org/officeDocument/2006/relationships/chart" Target="charts/chart42.xml"/><Relationship Id="rId80" Type="http://schemas.openxmlformats.org/officeDocument/2006/relationships/image" Target="media/image18.png"/><Relationship Id="rId85" Type="http://schemas.openxmlformats.org/officeDocument/2006/relationships/image" Target="media/image23.png"/><Relationship Id="rId93" Type="http://schemas.openxmlformats.org/officeDocument/2006/relationships/chart" Target="charts/chart52.xml"/><Relationship Id="rId98" Type="http://schemas.openxmlformats.org/officeDocument/2006/relationships/chart" Target="charts/chart5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7.xml"/><Relationship Id="rId59" Type="http://schemas.openxmlformats.org/officeDocument/2006/relationships/chart" Target="charts/chart30.xml"/><Relationship Id="rId67" Type="http://schemas.openxmlformats.org/officeDocument/2006/relationships/chart" Target="charts/chart38.xml"/><Relationship Id="rId103" Type="http://schemas.openxmlformats.org/officeDocument/2006/relationships/chart" Target="charts/chart62.xml"/><Relationship Id="rId108" Type="http://schemas.openxmlformats.org/officeDocument/2006/relationships/chart" Target="charts/chart67.xml"/><Relationship Id="rId11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chart" Target="charts/chart13.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chart" Target="charts/chart50.xml"/><Relationship Id="rId96" Type="http://schemas.openxmlformats.org/officeDocument/2006/relationships/chart" Target="charts/chart55.xml"/><Relationship Id="rId111" Type="http://schemas.openxmlformats.org/officeDocument/2006/relationships/chart" Target="charts/chart7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chart" Target="charts/chart20.xml"/><Relationship Id="rId57" Type="http://schemas.openxmlformats.org/officeDocument/2006/relationships/chart" Target="charts/chart28.xml"/><Relationship Id="rId106" Type="http://schemas.openxmlformats.org/officeDocument/2006/relationships/chart" Target="charts/chart65.xml"/><Relationship Id="rId114" Type="http://schemas.openxmlformats.org/officeDocument/2006/relationships/header" Target="header8.xm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3.xml"/><Relationship Id="rId78" Type="http://schemas.openxmlformats.org/officeDocument/2006/relationships/chart" Target="charts/chart48.xml"/><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chart" Target="charts/chart53.xml"/><Relationship Id="rId99" Type="http://schemas.openxmlformats.org/officeDocument/2006/relationships/chart" Target="charts/chart58.xml"/><Relationship Id="rId101" Type="http://schemas.openxmlformats.org/officeDocument/2006/relationships/chart" Target="charts/chart6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chart" Target="charts/chart11.xml"/><Relationship Id="rId109" Type="http://schemas.openxmlformats.org/officeDocument/2006/relationships/chart" Target="charts/chart68.xml"/><Relationship Id="rId34" Type="http://schemas.openxmlformats.org/officeDocument/2006/relationships/chart" Target="charts/chart6.xml"/><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chart" Target="charts/chart46.xml"/><Relationship Id="rId97" Type="http://schemas.openxmlformats.org/officeDocument/2006/relationships/chart" Target="charts/chart56.xml"/><Relationship Id="rId104" Type="http://schemas.openxmlformats.org/officeDocument/2006/relationships/chart" Target="charts/chart63.xml"/><Relationship Id="rId7" Type="http://schemas.openxmlformats.org/officeDocument/2006/relationships/endnotes" Target="endnotes.xml"/><Relationship Id="rId71" Type="http://schemas.openxmlformats.org/officeDocument/2006/relationships/chart" Target="charts/chart41.xml"/><Relationship Id="rId92" Type="http://schemas.openxmlformats.org/officeDocument/2006/relationships/chart" Target="charts/chart51.xml"/><Relationship Id="rId2" Type="http://schemas.openxmlformats.org/officeDocument/2006/relationships/numbering" Target="numbering.xml"/><Relationship Id="rId29" Type="http://schemas.openxmlformats.org/officeDocument/2006/relationships/chart" Target="charts/chart4.xml"/></Relationships>
</file>

<file path=word/_rels/header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_es.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 Id="rId4" Type="http://schemas.microsoft.com/office/2011/relationships/chartStyle" Target="style6.xml"/></Relationships>
</file>

<file path=word/charts/_rels/chart23.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25.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28.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31.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4.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4.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potti\Desktop\Sheet_1.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Encuesta%20CEE%20020914.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smadfsr20\med_amb\Clientes_y_Targets\Fundaci&#243;n_ONCE\CEE_Castilla_y_Le&#243;n_NP3043410\Entrevistas_CEEs\Consultas%20a%20los%20centros.xls"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smadfsr20\med_amb\Clientes_y_Targets\Fundaci&#243;n_ONCE\CEE_Castilla_y_Le&#243;n_NP3043410\Entrevistas_CEEs\Consultas%20a%20los%20centros.xls"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smadfsr20\med_amb\Clientes_y_Targets\Fundaci&#243;n_ONCE\CEE_Castilla_y_Le&#243;n_NP3043410\Entrevistas_CEEs\Consultas%20a%20los%20centros.xls"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smadfsr20\med_amb\Clientes_y_Targets\Fundaci&#243;n_ONCE\CEE_Castilla_y_Le&#243;n_NP3043410\Entrevistas_CEEs\Consultas%20a%20los%20centros.xls"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smadfsr20\med_amb\Clientes_y_Targets\Fundaci&#243;n_ONCE\CEE_Castilla_y_Le&#243;n_NP3043410\2_Indicadores\02_CEE_TODOS\SAN%20JUAN%20DE%20DIOS_250914.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smadfsr20\med_amb\Clientes_y_Targets\Fundaci&#243;n_ONCE\CEE_Castilla_y_Le&#243;n_NP3043410\2_Indicadores\02_CEE_TODOS\SAN%20JUAN%20DE%20DIOS_260914.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smadfsr20\med_amb\Clientes_y_Targets\Fundaci&#243;n_ONCE\CEE_Castilla_y_Le&#243;n_NP3043410\2_Indicadores\02_CEE_TODOS\SAN%20JUAN%20DE%20DIOS_260914.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smadfsr20\med_amb\Clientes_y_Targets\Fundaci&#243;n_ONCE\CEE_Castilla_y_Le&#243;n_NP3043410\2_Indicadores\02_CEE_TODOS\SAN%20JUAN%20DE%20DIOS_250914.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02_CEE_TODOS\SAN%20JUAN%20DE%20DIOS_250914.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Esmadfsr20\med_amb\Clientes_y_Targets\Fundaci&#243;n_ONCE\CEE_Castilla_y_Le&#243;n_NP3043410\2_Indicadores\Consolidacion_datos_CEE%20V2%20recovered3%20histogramas.xlsm"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smadfsr20\med_amb\Clientes_y_Targets\Fundaci&#243;n_ONCE\CEE_Castilla_y_Le&#243;n_NP3043410\2_Indicadores\02_CEE_TODOS\SAN%20JUAN%20DE%20DIOS_250914.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esmadfsr20\med_amb\Clientes_y_Targets\Fundaci&#243;n_ONCE\CEE_Castilla_y_Le&#243;n_NP3043410\2_Indicadores\02_CEE_TODOS\SAN%20JUAN%20DE%20DIOS_250914.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02_CEE_TODOS\SAN%20JUAN%20DE%20DIOS_260914.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02_CEE_TODOS\GEST_RESIDENCIALFIGAR_2609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smadfsr20\med_amb\Clientes_y_Targets\Fundaci&#243;n_ONCE\CEE_Castilla_y_Le&#243;n_NP3043410\2_Indicadores\Consolidacion_datos_CEE%20V2%20recovered3.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7359734697647"/>
          <c:y val="1.8384692654158971E-2"/>
          <c:w val="0.82764591414616562"/>
          <c:h val="0.68087912337091772"/>
        </c:manualLayout>
      </c:layout>
      <c:barChart>
        <c:barDir val="col"/>
        <c:grouping val="stacked"/>
        <c:ser>
          <c:idx val="0"/>
          <c:order val="0"/>
          <c:tx>
            <c:strRef>
              <c:f>Graficos_Informe!$B$190</c:f>
              <c:strCache>
                <c:ptCount val="1"/>
                <c:pt idx="0">
                  <c:v>Retorno derivado IRPF</c:v>
                </c:pt>
              </c:strCache>
            </c:strRef>
          </c:tx>
          <c:dPt>
            <c:idx val="0"/>
            <c:spPr>
              <a:solidFill>
                <a:schemeClr val="accent2">
                  <a:lumMod val="50000"/>
                </a:schemeClr>
              </a:solidFill>
            </c:spPr>
          </c:dPt>
          <c:dPt>
            <c:idx val="1"/>
            <c:spPr>
              <a:solidFill>
                <a:schemeClr val="bg1"/>
              </a:solidFill>
            </c:spPr>
          </c:dPt>
          <c:dPt>
            <c:idx val="2"/>
            <c:spPr>
              <a:solidFill>
                <a:schemeClr val="bg1"/>
              </a:solidFill>
            </c:spPr>
          </c:dPt>
          <c:dPt>
            <c:idx val="3"/>
            <c:spPr>
              <a:solidFill>
                <a:schemeClr val="bg1"/>
              </a:solidFill>
            </c:spPr>
          </c:dPt>
          <c:dPt>
            <c:idx val="4"/>
            <c:spPr>
              <a:solidFill>
                <a:schemeClr val="bg1"/>
              </a:solidFill>
            </c:spPr>
          </c:dPt>
          <c:dPt>
            <c:idx val="5"/>
            <c:spPr>
              <a:solidFill>
                <a:schemeClr val="bg1"/>
              </a:solidFill>
            </c:spPr>
          </c:dPt>
          <c:dPt>
            <c:idx val="6"/>
            <c:spPr>
              <a:solidFill>
                <a:schemeClr val="bg1"/>
              </a:solidFill>
            </c:spPr>
          </c:dPt>
          <c:dPt>
            <c:idx val="7"/>
            <c:spPr>
              <a:solidFill>
                <a:schemeClr val="bg1"/>
              </a:solidFill>
            </c:spPr>
          </c:dPt>
          <c:dPt>
            <c:idx val="8"/>
            <c:spPr>
              <a:solidFill>
                <a:schemeClr val="bg1"/>
              </a:solidFill>
            </c:spPr>
          </c:dPt>
          <c:dLbls>
            <c:dLbl>
              <c:idx val="0"/>
              <c:layout>
                <c:manualLayout>
                  <c:x val="-3.1455817332353597E-3"/>
                  <c:y val="-4.3196544276457867E-2"/>
                </c:manualLayout>
              </c:layout>
              <c:showVal val="1"/>
              <c:extLst>
                <c:ext xmlns:c15="http://schemas.microsoft.com/office/drawing/2012/chart" uri="{CE6537A1-D6FC-4f65-9D91-7224C49458BB}">
                  <c15:layout/>
                </c:ext>
              </c:extLst>
            </c:dLbl>
            <c:delete val="1"/>
            <c:spPr>
              <a:noFill/>
              <a:ln>
                <a:noFill/>
              </a:ln>
              <a:effectLst/>
            </c:spPr>
            <c:txPr>
              <a:bodyPr/>
              <a:lstStyle/>
              <a:p>
                <a:pPr>
                  <a:defRPr sz="600"/>
                </a:pPr>
                <a:endParaRPr lang="es-ES"/>
              </a:p>
            </c:txPr>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Graficos_Informe!$C$190:$K$190</c:f>
              <c:numCache>
                <c:formatCode>#,##0</c:formatCode>
                <c:ptCount val="9"/>
                <c:pt idx="0">
                  <c:v>3695946.4008304784</c:v>
                </c:pt>
                <c:pt idx="1">
                  <c:v>3695946.4008304784</c:v>
                </c:pt>
                <c:pt idx="2">
                  <c:v>3695946.4008304784</c:v>
                </c:pt>
                <c:pt idx="3">
                  <c:v>3695946.4008304784</c:v>
                </c:pt>
                <c:pt idx="4">
                  <c:v>3695946.4008304784</c:v>
                </c:pt>
                <c:pt idx="5">
                  <c:v>3695946.4008304784</c:v>
                </c:pt>
                <c:pt idx="6">
                  <c:v>3695946.4008304784</c:v>
                </c:pt>
                <c:pt idx="7">
                  <c:v>3695946.4008304784</c:v>
                </c:pt>
                <c:pt idx="8">
                  <c:v>3695946.4008304784</c:v>
                </c:pt>
              </c:numCache>
            </c:numRef>
          </c:val>
        </c:ser>
        <c:ser>
          <c:idx val="1"/>
          <c:order val="1"/>
          <c:tx>
            <c:strRef>
              <c:f>Graficos_Informe!$B$191</c:f>
              <c:strCache>
                <c:ptCount val="1"/>
                <c:pt idx="0">
                  <c:v>Retorno derivado de seguridad social</c:v>
                </c:pt>
              </c:strCache>
            </c:strRef>
          </c:tx>
          <c:dPt>
            <c:idx val="0"/>
            <c:spPr>
              <a:solidFill>
                <a:schemeClr val="bg1"/>
              </a:solidFill>
            </c:spPr>
          </c:dPt>
          <c:dPt>
            <c:idx val="2"/>
            <c:spPr>
              <a:solidFill>
                <a:schemeClr val="bg1"/>
              </a:solidFill>
            </c:spPr>
          </c:dPt>
          <c:dPt>
            <c:idx val="3"/>
            <c:spPr>
              <a:solidFill>
                <a:schemeClr val="bg1"/>
              </a:solidFill>
            </c:spPr>
          </c:dPt>
          <c:dPt>
            <c:idx val="4"/>
            <c:spPr>
              <a:solidFill>
                <a:schemeClr val="bg1"/>
              </a:solidFill>
            </c:spPr>
          </c:dPt>
          <c:dPt>
            <c:idx val="5"/>
            <c:spPr>
              <a:solidFill>
                <a:schemeClr val="bg1"/>
              </a:solidFill>
            </c:spPr>
          </c:dPt>
          <c:dPt>
            <c:idx val="6"/>
            <c:spPr>
              <a:solidFill>
                <a:schemeClr val="bg1"/>
              </a:solidFill>
            </c:spPr>
          </c:dPt>
          <c:dPt>
            <c:idx val="7"/>
            <c:spPr>
              <a:solidFill>
                <a:schemeClr val="bg1"/>
              </a:solidFill>
            </c:spPr>
          </c:dPt>
          <c:dPt>
            <c:idx val="8"/>
            <c:spPr>
              <a:solidFill>
                <a:schemeClr val="bg1"/>
              </a:solidFill>
            </c:spPr>
          </c:dPt>
          <c:dLbls>
            <c:dLbl>
              <c:idx val="1"/>
              <c:layout>
                <c:manualLayout>
                  <c:x val="0"/>
                  <c:y val="-7.4874010079193795E-2"/>
                </c:manualLayout>
              </c:layout>
              <c:showVal val="1"/>
              <c:extLst>
                <c:ext xmlns:c15="http://schemas.microsoft.com/office/drawing/2012/chart" uri="{CE6537A1-D6FC-4f65-9D91-7224C49458BB}">
                  <c15:layout/>
                </c:ext>
              </c:extLst>
            </c:dLbl>
            <c:delete val="1"/>
            <c:spPr>
              <a:noFill/>
              <a:ln>
                <a:noFill/>
              </a:ln>
              <a:effectLst/>
            </c:spPr>
            <c:txPr>
              <a:bodyPr/>
              <a:lstStyle/>
              <a:p>
                <a:pPr>
                  <a:defRPr sz="600"/>
                </a:pPr>
                <a:endParaRPr lang="es-ES"/>
              </a:p>
            </c:txPr>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Graficos_Informe!$C$191:$K$191</c:f>
              <c:numCache>
                <c:formatCode>#,##0</c:formatCode>
                <c:ptCount val="9"/>
                <c:pt idx="0">
                  <c:v>7447482.5059472686</c:v>
                </c:pt>
                <c:pt idx="1">
                  <c:v>7447482.5059472686</c:v>
                </c:pt>
                <c:pt idx="2">
                  <c:v>7447482.5059472686</c:v>
                </c:pt>
                <c:pt idx="3">
                  <c:v>7447482.5059472686</c:v>
                </c:pt>
                <c:pt idx="4">
                  <c:v>7447482.5059472686</c:v>
                </c:pt>
                <c:pt idx="5">
                  <c:v>7447482.5059472686</c:v>
                </c:pt>
                <c:pt idx="6">
                  <c:v>7447482.5059472686</c:v>
                </c:pt>
                <c:pt idx="7">
                  <c:v>7447482.5059472686</c:v>
                </c:pt>
                <c:pt idx="8">
                  <c:v>7447482.5059472686</c:v>
                </c:pt>
              </c:numCache>
            </c:numRef>
          </c:val>
        </c:ser>
        <c:ser>
          <c:idx val="2"/>
          <c:order val="2"/>
          <c:tx>
            <c:strRef>
              <c:f>Graficos_Informe!$B$192</c:f>
              <c:strCache>
                <c:ptCount val="1"/>
                <c:pt idx="0">
                  <c:v>Retorno derivado del IVA</c:v>
                </c:pt>
              </c:strCache>
            </c:strRef>
          </c:tx>
          <c:dPt>
            <c:idx val="0"/>
            <c:spPr>
              <a:solidFill>
                <a:schemeClr val="bg1"/>
              </a:solidFill>
            </c:spPr>
          </c:dPt>
          <c:dPt>
            <c:idx val="1"/>
            <c:spPr>
              <a:solidFill>
                <a:schemeClr val="bg1"/>
              </a:solidFill>
            </c:spPr>
          </c:dPt>
          <c:dPt>
            <c:idx val="2"/>
            <c:spPr>
              <a:solidFill>
                <a:schemeClr val="accent2">
                  <a:lumMod val="40000"/>
                  <a:lumOff val="60000"/>
                </a:schemeClr>
              </a:solidFill>
            </c:spPr>
          </c:dPt>
          <c:dPt>
            <c:idx val="3"/>
            <c:spPr>
              <a:solidFill>
                <a:schemeClr val="bg1"/>
              </a:solidFill>
            </c:spPr>
          </c:dPt>
          <c:dPt>
            <c:idx val="4"/>
            <c:spPr>
              <a:solidFill>
                <a:schemeClr val="bg1"/>
              </a:solidFill>
            </c:spPr>
          </c:dPt>
          <c:dPt>
            <c:idx val="5"/>
            <c:spPr>
              <a:solidFill>
                <a:schemeClr val="bg1"/>
              </a:solidFill>
            </c:spPr>
          </c:dPt>
          <c:dPt>
            <c:idx val="6"/>
            <c:spPr>
              <a:solidFill>
                <a:schemeClr val="bg1"/>
              </a:solidFill>
            </c:spPr>
          </c:dPt>
          <c:dPt>
            <c:idx val="7"/>
            <c:spPr>
              <a:solidFill>
                <a:schemeClr val="bg1"/>
              </a:solidFill>
            </c:spPr>
          </c:dPt>
          <c:dPt>
            <c:idx val="8"/>
            <c:spPr>
              <a:solidFill>
                <a:schemeClr val="bg1"/>
              </a:solidFill>
            </c:spPr>
          </c:dPt>
          <c:dLbls>
            <c:dLbl>
              <c:idx val="2"/>
              <c:layout>
                <c:manualLayout>
                  <c:x val="0"/>
                  <c:y val="-0.13534917206623498"/>
                </c:manualLayout>
              </c:layout>
              <c:tx>
                <c:rich>
                  <a:bodyPr/>
                  <a:lstStyle/>
                  <a:p>
                    <a:pPr>
                      <a:defRPr sz="600"/>
                    </a:pPr>
                    <a:r>
                      <a:rPr lang="en-US"/>
                      <a:t>17.736.035</a:t>
                    </a:r>
                  </a:p>
                </c:rich>
              </c:tx>
              <c:spPr/>
              <c:showVal val="1"/>
              <c:extLst>
                <c:ext xmlns:c15="http://schemas.microsoft.com/office/drawing/2012/chart" uri="{CE6537A1-D6FC-4f65-9D91-7224C49458BB}">
                  <c15:layout/>
                </c:ext>
              </c:extLst>
            </c:dLbl>
            <c:delete val="1"/>
            <c:spPr>
              <a:noFill/>
              <a:ln>
                <a:noFill/>
              </a:ln>
              <a:effectLst/>
            </c:spPr>
            <c:txPr>
              <a:bodyPr wrap="square" lIns="38100" tIns="19050" rIns="38100" bIns="19050" anchor="ctr">
                <a:spAutoFit/>
              </a:bodyPr>
              <a:lstStyle/>
              <a:p>
                <a:pPr>
                  <a:defRPr sz="600"/>
                </a:pPr>
                <a:endParaRPr lang="es-ES"/>
              </a:p>
            </c:txPr>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Graficos_Informe!$C$192:$K$192</c:f>
              <c:numCache>
                <c:formatCode>#,##0</c:formatCode>
                <c:ptCount val="9"/>
                <c:pt idx="0">
                  <c:v>14428903.561055439</c:v>
                </c:pt>
                <c:pt idx="1">
                  <c:v>14428903.561055439</c:v>
                </c:pt>
                <c:pt idx="2">
                  <c:v>14428903.561055439</c:v>
                </c:pt>
                <c:pt idx="3">
                  <c:v>14428903.561055439</c:v>
                </c:pt>
                <c:pt idx="4">
                  <c:v>14428903.561055439</c:v>
                </c:pt>
                <c:pt idx="5">
                  <c:v>14428903.561055439</c:v>
                </c:pt>
                <c:pt idx="6">
                  <c:v>14428903.561055439</c:v>
                </c:pt>
                <c:pt idx="7">
                  <c:v>14428903.561055439</c:v>
                </c:pt>
                <c:pt idx="8">
                  <c:v>14428903.561055439</c:v>
                </c:pt>
              </c:numCache>
            </c:numRef>
          </c:val>
        </c:ser>
        <c:ser>
          <c:idx val="3"/>
          <c:order val="3"/>
          <c:tx>
            <c:strRef>
              <c:f>Graficos_Informe!$B$193</c:f>
              <c:strCache>
                <c:ptCount val="1"/>
                <c:pt idx="0">
                  <c:v>Retorno derivado del impuesto de sociedades</c:v>
                </c:pt>
              </c:strCache>
            </c:strRef>
          </c:tx>
          <c:dPt>
            <c:idx val="0"/>
            <c:spPr>
              <a:solidFill>
                <a:schemeClr val="bg1"/>
              </a:solidFill>
            </c:spPr>
          </c:dPt>
          <c:dPt>
            <c:idx val="1"/>
            <c:spPr>
              <a:solidFill>
                <a:schemeClr val="bg1"/>
              </a:solidFill>
            </c:spPr>
          </c:dPt>
          <c:dPt>
            <c:idx val="2"/>
            <c:spPr>
              <a:solidFill>
                <a:schemeClr val="bg1"/>
              </a:solidFill>
            </c:spPr>
          </c:dPt>
          <c:dPt>
            <c:idx val="3"/>
            <c:spPr>
              <a:solidFill>
                <a:schemeClr val="accent2">
                  <a:lumMod val="20000"/>
                  <a:lumOff val="80000"/>
                </a:schemeClr>
              </a:solidFill>
            </c:spPr>
          </c:dPt>
          <c:dPt>
            <c:idx val="4"/>
            <c:spPr>
              <a:solidFill>
                <a:schemeClr val="bg1"/>
              </a:solidFill>
            </c:spPr>
          </c:dPt>
          <c:dPt>
            <c:idx val="5"/>
            <c:spPr>
              <a:solidFill>
                <a:schemeClr val="bg1"/>
              </a:solidFill>
            </c:spPr>
          </c:dPt>
          <c:dPt>
            <c:idx val="6"/>
            <c:spPr>
              <a:solidFill>
                <a:schemeClr val="bg1"/>
              </a:solidFill>
            </c:spPr>
          </c:dPt>
          <c:dPt>
            <c:idx val="7"/>
            <c:spPr>
              <a:solidFill>
                <a:schemeClr val="bg1"/>
              </a:solidFill>
            </c:spPr>
          </c:dPt>
          <c:dPt>
            <c:idx val="8"/>
            <c:spPr>
              <a:solidFill>
                <a:schemeClr val="bg1"/>
              </a:solidFill>
            </c:spPr>
          </c:dPt>
          <c:dLbls>
            <c:dLbl>
              <c:idx val="3"/>
              <c:layout>
                <c:manualLayout>
                  <c:x val="0"/>
                  <c:y val="-3.455723542116642E-2"/>
                </c:manualLayout>
              </c:layout>
              <c:showVal val="1"/>
              <c:extLst>
                <c:ext xmlns:c15="http://schemas.microsoft.com/office/drawing/2012/chart" uri="{CE6537A1-D6FC-4f65-9D91-7224C49458BB}">
                  <c15:layout/>
                </c:ext>
              </c:extLst>
            </c:dLbl>
            <c:delete val="1"/>
            <c:spPr>
              <a:noFill/>
              <a:ln>
                <a:noFill/>
              </a:ln>
              <a:effectLst/>
            </c:spPr>
            <c:txPr>
              <a:bodyPr/>
              <a:lstStyle/>
              <a:p>
                <a:pPr>
                  <a:defRPr sz="600"/>
                </a:pPr>
                <a:endParaRPr lang="es-ES"/>
              </a:p>
            </c:txPr>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Graficos_Informe!$C$193:$K$193</c:f>
              <c:numCache>
                <c:formatCode>#,##0</c:formatCode>
                <c:ptCount val="9"/>
                <c:pt idx="0">
                  <c:v>2132350.2799589299</c:v>
                </c:pt>
                <c:pt idx="1">
                  <c:v>2132350.2799589317</c:v>
                </c:pt>
                <c:pt idx="2">
                  <c:v>2132350.2799589317</c:v>
                </c:pt>
                <c:pt idx="3">
                  <c:v>2132350.2799589317</c:v>
                </c:pt>
                <c:pt idx="4">
                  <c:v>2132350.2799589317</c:v>
                </c:pt>
                <c:pt idx="5">
                  <c:v>2132350.2799589317</c:v>
                </c:pt>
                <c:pt idx="6">
                  <c:v>2132350.2799589317</c:v>
                </c:pt>
                <c:pt idx="7">
                  <c:v>2132350.2799589317</c:v>
                </c:pt>
                <c:pt idx="8">
                  <c:v>2132350.2799589317</c:v>
                </c:pt>
              </c:numCache>
            </c:numRef>
          </c:val>
        </c:ser>
        <c:ser>
          <c:idx val="4"/>
          <c:order val="4"/>
          <c:tx>
            <c:strRef>
              <c:f>Graficos_Informe!$B$194</c:f>
              <c:strCache>
                <c:ptCount val="1"/>
                <c:pt idx="0">
                  <c:v>Retorno ayudas
LISMI</c:v>
                </c:pt>
              </c:strCache>
            </c:strRef>
          </c:tx>
          <c:spPr>
            <a:solidFill>
              <a:schemeClr val="bg1"/>
            </a:solidFill>
          </c:spPr>
          <c:dPt>
            <c:idx val="4"/>
            <c:spPr>
              <a:solidFill>
                <a:schemeClr val="tx2"/>
              </a:solidFill>
              <a:ln w="19050"/>
            </c:spPr>
          </c:dPt>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Graficos_Informe!$C$194:$K$194</c:f>
              <c:numCache>
                <c:formatCode>#,##0</c:formatCode>
                <c:ptCount val="9"/>
                <c:pt idx="0">
                  <c:v>96836.564332237802</c:v>
                </c:pt>
                <c:pt idx="1">
                  <c:v>96836.564332237758</c:v>
                </c:pt>
                <c:pt idx="2">
                  <c:v>96836.564332237758</c:v>
                </c:pt>
                <c:pt idx="3">
                  <c:v>96836.564332237758</c:v>
                </c:pt>
                <c:pt idx="4">
                  <c:v>96836.564332237758</c:v>
                </c:pt>
                <c:pt idx="5">
                  <c:v>96836.564332237758</c:v>
                </c:pt>
                <c:pt idx="6">
                  <c:v>96836.564332237758</c:v>
                </c:pt>
                <c:pt idx="7">
                  <c:v>96836.564332237758</c:v>
                </c:pt>
                <c:pt idx="8">
                  <c:v>96836.564332237802</c:v>
                </c:pt>
              </c:numCache>
            </c:numRef>
          </c:val>
        </c:ser>
        <c:ser>
          <c:idx val="5"/>
          <c:order val="5"/>
          <c:tx>
            <c:strRef>
              <c:f>Graficos_Informe!$B$195</c:f>
              <c:strCache>
                <c:ptCount val="1"/>
                <c:pt idx="0">
                  <c:v>Retorno pensiones 
no contributivas</c:v>
                </c:pt>
              </c:strCache>
            </c:strRef>
          </c:tx>
          <c:dPt>
            <c:idx val="0"/>
            <c:spPr>
              <a:solidFill>
                <a:schemeClr val="bg1"/>
              </a:solidFill>
            </c:spPr>
          </c:dPt>
          <c:dPt>
            <c:idx val="1"/>
            <c:spPr>
              <a:solidFill>
                <a:schemeClr val="bg1"/>
              </a:solidFill>
            </c:spPr>
          </c:dPt>
          <c:dPt>
            <c:idx val="2"/>
            <c:spPr>
              <a:solidFill>
                <a:schemeClr val="bg1"/>
              </a:solidFill>
            </c:spPr>
          </c:dPt>
          <c:dPt>
            <c:idx val="3"/>
            <c:spPr>
              <a:solidFill>
                <a:schemeClr val="bg1"/>
              </a:solidFill>
            </c:spPr>
          </c:dPt>
          <c:dPt>
            <c:idx val="4"/>
            <c:spPr>
              <a:solidFill>
                <a:schemeClr val="bg1"/>
              </a:solidFill>
            </c:spPr>
          </c:dPt>
          <c:dPt>
            <c:idx val="5"/>
            <c:spPr>
              <a:solidFill>
                <a:srgbClr val="8EB4E3"/>
              </a:solidFill>
            </c:spPr>
          </c:dPt>
          <c:dPt>
            <c:idx val="6"/>
            <c:spPr>
              <a:solidFill>
                <a:schemeClr val="bg1"/>
              </a:solidFill>
            </c:spPr>
          </c:dPt>
          <c:dPt>
            <c:idx val="7"/>
            <c:spPr>
              <a:solidFill>
                <a:schemeClr val="bg1"/>
              </a:solidFill>
            </c:spPr>
          </c:dPt>
          <c:dPt>
            <c:idx val="8"/>
            <c:spPr>
              <a:solidFill>
                <a:schemeClr val="bg1"/>
              </a:solidFill>
            </c:spPr>
          </c:dPt>
          <c:dLbls>
            <c:dLbl>
              <c:idx val="4"/>
              <c:layout>
                <c:manualLayout>
                  <c:x val="0"/>
                  <c:y val="-1.0443864229764992E-2"/>
                </c:manualLayout>
              </c:layout>
              <c:tx>
                <c:rich>
                  <a:bodyPr/>
                  <a:lstStyle/>
                  <a:p>
                    <a:r>
                      <a:rPr lang="en-US"/>
                      <a:t>96.837</a:t>
                    </a:r>
                  </a:p>
                </c:rich>
              </c:tx>
              <c:showVal val="1"/>
              <c:extLst>
                <c:ext xmlns:c15="http://schemas.microsoft.com/office/drawing/2012/chart" uri="{CE6537A1-D6FC-4f65-9D91-7224C49458BB}">
                  <c15:layout/>
                </c:ext>
              </c:extLst>
            </c:dLbl>
            <c:dLbl>
              <c:idx val="5"/>
              <c:layout>
                <c:manualLayout>
                  <c:x val="-1.5727908666176777E-3"/>
                  <c:y val="-2.3038156947444204E-2"/>
                </c:manualLayout>
              </c:layout>
              <c:showVal val="1"/>
              <c:extLst>
                <c:ext xmlns:c15="http://schemas.microsoft.com/office/drawing/2012/chart" uri="{CE6537A1-D6FC-4f65-9D91-7224C49458BB}">
                  <c15:layout/>
                </c:ext>
              </c:extLst>
            </c:dLbl>
            <c:delete val="1"/>
            <c:spPr>
              <a:noFill/>
              <a:ln>
                <a:noFill/>
              </a:ln>
              <a:effectLst/>
            </c:spPr>
            <c:txPr>
              <a:bodyPr/>
              <a:lstStyle/>
              <a:p>
                <a:pPr>
                  <a:defRPr sz="600"/>
                </a:pPr>
                <a:endParaRPr lang="es-ES"/>
              </a:p>
            </c:txPr>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Graficos_Informe!$C$195:$K$195</c:f>
              <c:numCache>
                <c:formatCode>#,##0</c:formatCode>
                <c:ptCount val="9"/>
                <c:pt idx="0">
                  <c:v>1431419.2446843297</c:v>
                </c:pt>
                <c:pt idx="1">
                  <c:v>1431419.24468433</c:v>
                </c:pt>
                <c:pt idx="2">
                  <c:v>1431419.24468433</c:v>
                </c:pt>
                <c:pt idx="3">
                  <c:v>1431419.24468433</c:v>
                </c:pt>
                <c:pt idx="4">
                  <c:v>1431419.24468433</c:v>
                </c:pt>
                <c:pt idx="5">
                  <c:v>1431419.24468433</c:v>
                </c:pt>
                <c:pt idx="6">
                  <c:v>1431419.24468433</c:v>
                </c:pt>
                <c:pt idx="7">
                  <c:v>1431419.24468433</c:v>
                </c:pt>
                <c:pt idx="8">
                  <c:v>1431419.24468433</c:v>
                </c:pt>
              </c:numCache>
            </c:numRef>
          </c:val>
        </c:ser>
        <c:ser>
          <c:idx val="6"/>
          <c:order val="6"/>
          <c:tx>
            <c:strRef>
              <c:f>Graficos_Informe!$B$196</c:f>
              <c:strCache>
                <c:ptCount val="1"/>
                <c:pt idx="0">
                  <c:v>Retorno pensiones
contributivas</c:v>
                </c:pt>
              </c:strCache>
            </c:strRef>
          </c:tx>
          <c:dPt>
            <c:idx val="0"/>
            <c:spPr>
              <a:solidFill>
                <a:schemeClr val="bg1"/>
              </a:solidFill>
            </c:spPr>
          </c:dPt>
          <c:dPt>
            <c:idx val="1"/>
            <c:spPr>
              <a:solidFill>
                <a:schemeClr val="bg1"/>
              </a:solidFill>
            </c:spPr>
          </c:dPt>
          <c:dPt>
            <c:idx val="2"/>
            <c:spPr>
              <a:solidFill>
                <a:schemeClr val="bg1"/>
              </a:solidFill>
            </c:spPr>
          </c:dPt>
          <c:dPt>
            <c:idx val="3"/>
            <c:spPr>
              <a:solidFill>
                <a:schemeClr val="bg1"/>
              </a:solidFill>
            </c:spPr>
          </c:dPt>
          <c:dPt>
            <c:idx val="4"/>
            <c:spPr>
              <a:solidFill>
                <a:schemeClr val="bg1"/>
              </a:solidFill>
            </c:spPr>
          </c:dPt>
          <c:dPt>
            <c:idx val="5"/>
            <c:spPr>
              <a:solidFill>
                <a:schemeClr val="bg1"/>
              </a:solidFill>
            </c:spPr>
          </c:dPt>
          <c:dPt>
            <c:idx val="6"/>
            <c:spPr>
              <a:solidFill>
                <a:srgbClr val="C6D9F1"/>
              </a:solidFill>
            </c:spPr>
          </c:dPt>
          <c:dPt>
            <c:idx val="7"/>
            <c:spPr>
              <a:solidFill>
                <a:schemeClr val="bg1"/>
              </a:solidFill>
            </c:spPr>
          </c:dPt>
          <c:dPt>
            <c:idx val="8"/>
            <c:spPr>
              <a:solidFill>
                <a:schemeClr val="bg1"/>
              </a:solidFill>
            </c:spPr>
          </c:dPt>
          <c:dLbls>
            <c:dLbl>
              <c:idx val="6"/>
              <c:layout>
                <c:manualLayout>
                  <c:x val="0"/>
                  <c:y val="-3.4557235421166399E-2"/>
                </c:manualLayout>
              </c:layout>
              <c:tx>
                <c:rich>
                  <a:bodyPr/>
                  <a:lstStyle/>
                  <a:p>
                    <a:fld id="{FB532F15-68D1-4B27-90BC-BFB8126A7E05}" type="VALUE">
                      <a:rPr lang="en-US" sz="600"/>
                      <a:pPr/>
                      <a:t>[VALUE]</a:t>
                    </a:fld>
                    <a:endParaRPr lang="es-ES"/>
                  </a:p>
                </c:rich>
              </c:tx>
              <c:showVal val="1"/>
              <c:extLst>
                <c:ext xmlns:c15="http://schemas.microsoft.com/office/drawing/2012/chart" uri="{CE6537A1-D6FC-4f65-9D91-7224C49458BB}">
                  <c15:layout/>
                  <c15:dlblFieldTable/>
                  <c15:showDataLabelsRange val="0"/>
                </c:ext>
              </c:extLst>
            </c:dLbl>
            <c:delete val="1"/>
            <c:spPr>
              <a:noFill/>
              <a:ln>
                <a:noFill/>
              </a:ln>
              <a:effectLst/>
            </c:spPr>
            <c:txPr>
              <a:bodyPr/>
              <a:lstStyle/>
              <a:p>
                <a:pPr>
                  <a:defRPr sz="700"/>
                </a:pPr>
                <a:endParaRPr lang="es-ES"/>
              </a:p>
            </c:txPr>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Graficos_Informe!$C$196:$K$196</c:f>
              <c:numCache>
                <c:formatCode>#,##0</c:formatCode>
                <c:ptCount val="9"/>
                <c:pt idx="0">
                  <c:v>3021023.8138698093</c:v>
                </c:pt>
                <c:pt idx="1">
                  <c:v>3021023.8138698069</c:v>
                </c:pt>
                <c:pt idx="2">
                  <c:v>3021023.8138698069</c:v>
                </c:pt>
                <c:pt idx="3">
                  <c:v>3021023.8138698069</c:v>
                </c:pt>
                <c:pt idx="4">
                  <c:v>3021023.8138698069</c:v>
                </c:pt>
                <c:pt idx="5">
                  <c:v>3021023.8138698069</c:v>
                </c:pt>
                <c:pt idx="6">
                  <c:v>3021023.8138698069</c:v>
                </c:pt>
                <c:pt idx="7">
                  <c:v>3021023.8138698069</c:v>
                </c:pt>
                <c:pt idx="8">
                  <c:v>3021023.8138698069</c:v>
                </c:pt>
              </c:numCache>
            </c:numRef>
          </c:val>
        </c:ser>
        <c:ser>
          <c:idx val="7"/>
          <c:order val="7"/>
          <c:tx>
            <c:strRef>
              <c:f>Graficos_Informe!$B$197</c:f>
              <c:strCache>
                <c:ptCount val="1"/>
                <c:pt idx="0">
                  <c:v>Retorno ahorro sanitario</c:v>
                </c:pt>
              </c:strCache>
            </c:strRef>
          </c:tx>
          <c:dPt>
            <c:idx val="0"/>
            <c:spPr>
              <a:solidFill>
                <a:schemeClr val="bg1"/>
              </a:solidFill>
            </c:spPr>
          </c:dPt>
          <c:dPt>
            <c:idx val="1"/>
            <c:spPr>
              <a:solidFill>
                <a:schemeClr val="bg1"/>
              </a:solidFill>
            </c:spPr>
          </c:dPt>
          <c:dPt>
            <c:idx val="2"/>
            <c:spPr>
              <a:solidFill>
                <a:schemeClr val="bg1"/>
              </a:solidFill>
            </c:spPr>
          </c:dPt>
          <c:dPt>
            <c:idx val="3"/>
            <c:spPr>
              <a:solidFill>
                <a:schemeClr val="bg1"/>
              </a:solidFill>
            </c:spPr>
          </c:dPt>
          <c:dPt>
            <c:idx val="4"/>
            <c:spPr>
              <a:solidFill>
                <a:schemeClr val="bg1"/>
              </a:solidFill>
            </c:spPr>
          </c:dPt>
          <c:dPt>
            <c:idx val="5"/>
            <c:spPr>
              <a:solidFill>
                <a:schemeClr val="bg1"/>
              </a:solidFill>
            </c:spPr>
          </c:dPt>
          <c:dPt>
            <c:idx val="6"/>
            <c:spPr>
              <a:solidFill>
                <a:schemeClr val="bg1"/>
              </a:solidFill>
            </c:spPr>
          </c:dPt>
          <c:dPt>
            <c:idx val="7"/>
            <c:spPr>
              <a:solidFill>
                <a:srgbClr val="DCE6F2"/>
              </a:solidFill>
            </c:spPr>
          </c:dPt>
          <c:dPt>
            <c:idx val="8"/>
            <c:spPr>
              <a:solidFill>
                <a:schemeClr val="bg1"/>
              </a:solidFill>
            </c:spPr>
          </c:dPt>
          <c:dLbls>
            <c:dLbl>
              <c:idx val="8"/>
              <c:layout>
                <c:manualLayout>
                  <c:x val="-7.0775588997795374E-2"/>
                  <c:y val="-6.9114470842332881E-2"/>
                </c:manualLayout>
              </c:layout>
              <c:spPr/>
              <c:txPr>
                <a:bodyPr/>
                <a:lstStyle/>
                <a:p>
                  <a:pPr>
                    <a:defRPr sz="600"/>
                  </a:pPr>
                  <a:endParaRPr lang="es-ES"/>
                </a:p>
              </c:txPr>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Graficos_Informe!$C$197:$K$197</c:f>
              <c:numCache>
                <c:formatCode>#,##0</c:formatCode>
                <c:ptCount val="9"/>
                <c:pt idx="0">
                  <c:v>5947494.7310557123</c:v>
                </c:pt>
                <c:pt idx="1">
                  <c:v>5947494.7310557123</c:v>
                </c:pt>
                <c:pt idx="2">
                  <c:v>5947494.7310557123</c:v>
                </c:pt>
                <c:pt idx="3">
                  <c:v>5947494.7310557123</c:v>
                </c:pt>
                <c:pt idx="4">
                  <c:v>5947494.7310557123</c:v>
                </c:pt>
                <c:pt idx="5">
                  <c:v>5947494.7310557123</c:v>
                </c:pt>
                <c:pt idx="6">
                  <c:v>5947494.7310557123</c:v>
                </c:pt>
                <c:pt idx="7">
                  <c:v>5947494.7310557123</c:v>
                </c:pt>
                <c:pt idx="8">
                  <c:v>5947494.7310557123</c:v>
                </c:pt>
              </c:numCache>
            </c:numRef>
          </c:val>
        </c:ser>
        <c:ser>
          <c:idx val="8"/>
          <c:order val="8"/>
          <c:tx>
            <c:strRef>
              <c:f>Graficos_Informe!$B$198</c:f>
              <c:strCache>
                <c:ptCount val="1"/>
                <c:pt idx="0">
                  <c:v>Ahorro en plazas ocupacionales</c:v>
                </c:pt>
              </c:strCache>
            </c:strRef>
          </c:tx>
          <c:dPt>
            <c:idx val="0"/>
            <c:spPr>
              <a:solidFill>
                <a:schemeClr val="bg1"/>
              </a:solidFill>
            </c:spPr>
          </c:dPt>
          <c:dPt>
            <c:idx val="1"/>
            <c:spPr>
              <a:solidFill>
                <a:schemeClr val="bg1"/>
              </a:solidFill>
            </c:spPr>
          </c:dPt>
          <c:dPt>
            <c:idx val="2"/>
            <c:spPr>
              <a:solidFill>
                <a:schemeClr val="bg1"/>
              </a:solidFill>
            </c:spPr>
          </c:dPt>
          <c:dPt>
            <c:idx val="3"/>
            <c:spPr>
              <a:solidFill>
                <a:schemeClr val="bg1"/>
              </a:solidFill>
            </c:spPr>
          </c:dPt>
          <c:dPt>
            <c:idx val="4"/>
            <c:spPr>
              <a:solidFill>
                <a:schemeClr val="bg1"/>
              </a:solidFill>
            </c:spPr>
          </c:dPt>
          <c:dPt>
            <c:idx val="5"/>
            <c:spPr>
              <a:solidFill>
                <a:schemeClr val="bg1"/>
              </a:solidFill>
            </c:spPr>
          </c:dPt>
          <c:dPt>
            <c:idx val="6"/>
            <c:spPr>
              <a:solidFill>
                <a:schemeClr val="bg1"/>
              </a:solidFill>
            </c:spPr>
          </c:dPt>
          <c:dPt>
            <c:idx val="7"/>
            <c:spPr>
              <a:solidFill>
                <a:schemeClr val="bg1"/>
              </a:solidFill>
            </c:spPr>
          </c:dPt>
          <c:dPt>
            <c:idx val="8"/>
            <c:spPr>
              <a:solidFill>
                <a:schemeClr val="accent5">
                  <a:lumMod val="20000"/>
                  <a:lumOff val="80000"/>
                </a:schemeClr>
              </a:solidFill>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3.145581733235355E-3"/>
                  <c:y val="-7.3926659950796031E-2"/>
                </c:manualLayout>
              </c:layout>
              <c:spPr/>
              <c:txPr>
                <a:bodyPr/>
                <a:lstStyle/>
                <a:p>
                  <a:pPr>
                    <a:defRPr sz="600"/>
                  </a:pPr>
                  <a:endParaRPr lang="es-ES"/>
                </a:p>
              </c:txPr>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600"/>
                </a:pPr>
                <a:endParaRPr lang="es-ES"/>
              </a:p>
            </c:txPr>
            <c:showVal val="1"/>
            <c:extLst>
              <c:ext xmlns:c15="http://schemas.microsoft.com/office/drawing/2012/chart" uri="{CE6537A1-D6FC-4f65-9D91-7224C49458BB}">
                <c15:showLeaderLines val="0"/>
              </c:ext>
            </c:extLst>
          </c:dLbls>
          <c:cat>
            <c:strRef>
              <c:f>Graficos_Informe!$B$190:$B$200</c:f>
              <c:strCache>
                <c:ptCount val="11"/>
                <c:pt idx="0">
                  <c:v>Retorno derivado IRPF</c:v>
                </c:pt>
                <c:pt idx="1">
                  <c:v>Retorno derivado de seguridad social</c:v>
                </c:pt>
                <c:pt idx="2">
                  <c:v>Retorno derivado del IVA</c:v>
                </c:pt>
                <c:pt idx="3">
                  <c:v>Retorno derivado del impuesto de sociedades</c:v>
                </c:pt>
                <c:pt idx="4">
                  <c:v>Retorno ayudas
LISMI</c:v>
                </c:pt>
                <c:pt idx="5">
                  <c:v>Retorno pensiones 
no contributivas</c:v>
                </c:pt>
                <c:pt idx="6">
                  <c:v>Retorno pensiones
contributivas</c:v>
                </c:pt>
                <c:pt idx="7">
                  <c:v>Retorno ahorro sanitario</c:v>
                </c:pt>
                <c:pt idx="8">
                  <c:v>Ahorro en plazas ocupacionales</c:v>
                </c:pt>
                <c:pt idx="9">
                  <c:v>Total retorno centros especiales de empleo</c:v>
                </c:pt>
                <c:pt idx="10">
                  <c:v>Ayudas totales de la administración pública</c:v>
                </c:pt>
              </c:strCache>
            </c:strRef>
          </c:cat>
          <c:val>
            <c:numRef>
              <c:f>Graficos_Informe!$C$198:$K$198</c:f>
              <c:numCache>
                <c:formatCode>#,##0</c:formatCode>
                <c:ptCount val="9"/>
                <c:pt idx="0">
                  <c:v>10218600</c:v>
                </c:pt>
                <c:pt idx="1">
                  <c:v>10218600</c:v>
                </c:pt>
                <c:pt idx="2">
                  <c:v>10218600</c:v>
                </c:pt>
                <c:pt idx="3">
                  <c:v>10218600</c:v>
                </c:pt>
                <c:pt idx="4">
                  <c:v>10218600</c:v>
                </c:pt>
                <c:pt idx="5">
                  <c:v>10218600</c:v>
                </c:pt>
                <c:pt idx="6">
                  <c:v>10218600</c:v>
                </c:pt>
                <c:pt idx="7">
                  <c:v>10218600</c:v>
                </c:pt>
                <c:pt idx="8">
                  <c:v>10218600</c:v>
                </c:pt>
              </c:numCache>
            </c:numRef>
          </c:val>
        </c:ser>
        <c:ser>
          <c:idx val="9"/>
          <c:order val="9"/>
          <c:tx>
            <c:strRef>
              <c:f>Graficos_Informe!$B$199</c:f>
              <c:strCache>
                <c:ptCount val="1"/>
                <c:pt idx="0">
                  <c:v>Total retorno centros especiales de empleo</c:v>
                </c:pt>
              </c:strCache>
            </c:strRef>
          </c:tx>
          <c:spPr>
            <a:solidFill>
              <a:schemeClr val="accent1"/>
            </a:solidFill>
          </c:spP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1.2384180052107706E-7"/>
                  <c:y val="-0.33933924055837666"/>
                </c:manualLayout>
              </c:layout>
              <c:tx>
                <c:rich>
                  <a:bodyPr/>
                  <a:lstStyle/>
                  <a:p>
                    <a:pPr>
                      <a:defRPr sz="600"/>
                    </a:pPr>
                    <a:r>
                      <a:rPr lang="en-US"/>
                      <a:t>51.727.189</a:t>
                    </a:r>
                  </a:p>
                </c:rich>
              </c:tx>
              <c:spPr/>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600"/>
                </a:pPr>
                <a:endParaRPr lang="es-ES"/>
              </a:p>
            </c:txPr>
            <c:showVal val="1"/>
            <c:extLst>
              <c:ext xmlns:c15="http://schemas.microsoft.com/office/drawing/2012/chart" uri="{CE6537A1-D6FC-4f65-9D91-7224C49458BB}">
                <c15:showLeaderLines val="0"/>
              </c:ext>
            </c:extLst>
          </c:dLbls>
          <c:val>
            <c:numRef>
              <c:f>Graficos_Informe!$C$199:$L$199</c:f>
              <c:numCache>
                <c:formatCode>#,##0</c:formatCode>
                <c:ptCount val="10"/>
                <c:pt idx="0">
                  <c:v>0</c:v>
                </c:pt>
                <c:pt idx="1">
                  <c:v>0</c:v>
                </c:pt>
                <c:pt idx="2">
                  <c:v>0</c:v>
                </c:pt>
                <c:pt idx="3">
                  <c:v>0</c:v>
                </c:pt>
                <c:pt idx="4">
                  <c:v>0</c:v>
                </c:pt>
                <c:pt idx="5">
                  <c:v>0</c:v>
                </c:pt>
                <c:pt idx="6">
                  <c:v>0</c:v>
                </c:pt>
                <c:pt idx="7">
                  <c:v>0</c:v>
                </c:pt>
                <c:pt idx="8">
                  <c:v>0</c:v>
                </c:pt>
                <c:pt idx="9">
                  <c:v>48420057.101734214</c:v>
                </c:pt>
              </c:numCache>
            </c:numRef>
          </c:val>
        </c:ser>
        <c:ser>
          <c:idx val="10"/>
          <c:order val="10"/>
          <c:tx>
            <c:strRef>
              <c:f>Graficos_Informe!$B$200</c:f>
              <c:strCache>
                <c:ptCount val="1"/>
                <c:pt idx="0">
                  <c:v>Ayudas totales de la administración pública</c:v>
                </c:pt>
              </c:strCache>
            </c:strRef>
          </c:tx>
          <c:dPt>
            <c:idx val="10"/>
            <c:spPr>
              <a:solidFill>
                <a:schemeClr val="accent3"/>
              </a:solidFill>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3.145581733235355E-3"/>
                  <c:y val="-0.26528456788854443"/>
                </c:manualLayout>
              </c:layout>
              <c:spPr/>
              <c:txPr>
                <a:bodyPr/>
                <a:lstStyle/>
                <a:p>
                  <a:pPr>
                    <a:defRPr sz="600"/>
                  </a:pPr>
                  <a:endParaRPr lang="es-ES"/>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val>
            <c:numRef>
              <c:f>Graficos_Informe!$C$200:$M$200</c:f>
              <c:numCache>
                <c:formatCode>#,##0</c:formatCode>
                <c:ptCount val="11"/>
                <c:pt idx="0">
                  <c:v>0</c:v>
                </c:pt>
                <c:pt idx="1">
                  <c:v>0</c:v>
                </c:pt>
                <c:pt idx="2">
                  <c:v>0</c:v>
                </c:pt>
                <c:pt idx="3">
                  <c:v>0</c:v>
                </c:pt>
                <c:pt idx="4">
                  <c:v>0</c:v>
                </c:pt>
                <c:pt idx="5">
                  <c:v>0</c:v>
                </c:pt>
                <c:pt idx="6">
                  <c:v>0</c:v>
                </c:pt>
                <c:pt idx="7">
                  <c:v>0</c:v>
                </c:pt>
                <c:pt idx="8">
                  <c:v>0</c:v>
                </c:pt>
                <c:pt idx="9">
                  <c:v>0</c:v>
                </c:pt>
                <c:pt idx="10">
                  <c:v>30505730.334986709</c:v>
                </c:pt>
              </c:numCache>
            </c:numRef>
          </c:val>
        </c:ser>
        <c:dLbls/>
        <c:gapWidth val="40"/>
        <c:overlap val="100"/>
        <c:axId val="115358720"/>
        <c:axId val="115360512"/>
      </c:barChart>
      <c:catAx>
        <c:axId val="115358720"/>
        <c:scaling>
          <c:orientation val="minMax"/>
        </c:scaling>
        <c:axPos val="b"/>
        <c:numFmt formatCode="General" sourceLinked="1"/>
        <c:tickLblPos val="low"/>
        <c:spPr>
          <a:ln w="3175">
            <a:solidFill>
              <a:srgbClr val="000000"/>
            </a:solidFill>
            <a:prstDash val="solid"/>
          </a:ln>
        </c:spPr>
        <c:txPr>
          <a:bodyPr rot="0"/>
          <a:lstStyle/>
          <a:p>
            <a:pPr>
              <a:defRPr sz="500">
                <a:solidFill>
                  <a:srgbClr val="000000"/>
                </a:solidFill>
                <a:latin typeface="MinionPro-RRegular"/>
              </a:defRPr>
            </a:pPr>
            <a:endParaRPr lang="es-ES"/>
          </a:p>
        </c:txPr>
        <c:crossAx val="115360512"/>
        <c:crosses val="autoZero"/>
        <c:auto val="1"/>
        <c:lblAlgn val="ctr"/>
        <c:lblOffset val="100"/>
      </c:catAx>
      <c:valAx>
        <c:axId val="115360512"/>
        <c:scaling>
          <c:orientation val="minMax"/>
          <c:min val="0"/>
        </c:scaling>
        <c:axPos val="l"/>
        <c:title>
          <c:tx>
            <c:rich>
              <a:bodyPr rot="-5400000" vert="horz"/>
              <a:lstStyle/>
              <a:p>
                <a:pPr>
                  <a:defRPr>
                    <a:solidFill>
                      <a:srgbClr val="000000"/>
                    </a:solidFill>
                  </a:defRPr>
                </a:pPr>
                <a:r>
                  <a:rPr lang="en-US"/>
                  <a:t>Euros</a:t>
                </a:r>
              </a:p>
            </c:rich>
          </c:tx>
          <c:layout>
            <c:manualLayout>
              <c:xMode val="edge"/>
              <c:yMode val="edge"/>
              <c:x val="3.8920748654372372E-3"/>
              <c:y val="0.35891027510450096"/>
            </c:manualLayout>
          </c:layout>
        </c:title>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15358720"/>
        <c:crosses val="autoZero"/>
        <c:crossBetween val="between"/>
      </c:valAx>
      <c:spPr>
        <a:noFill/>
        <a:ln w="25400">
          <a:noFill/>
        </a:ln>
      </c:spPr>
    </c:plotArea>
    <c:plotVisOnly val="1"/>
    <c:dispBlanksAs val="gap"/>
  </c:chart>
  <c:spPr>
    <a:noFill/>
    <a:ln w="19050">
      <a:noFill/>
    </a:ln>
  </c:spPr>
  <c:txPr>
    <a:bodyPr/>
    <a:lstStyle/>
    <a:p>
      <a:pPr>
        <a:defRPr sz="800" b="0" i="0">
          <a:solidFill>
            <a:srgbClr val="000000"/>
          </a:solidFill>
          <a:latin typeface="Arial"/>
          <a:ea typeface="Arial"/>
          <a:cs typeface="Arial"/>
        </a:defRPr>
      </a:pPr>
      <a:endParaRPr lang="es-E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900" b="1">
                <a:solidFill>
                  <a:srgbClr val="00338D"/>
                </a:solidFill>
                <a:latin typeface="Arial"/>
                <a:ea typeface="Arial"/>
                <a:cs typeface="Arial"/>
              </a:defRPr>
            </a:pPr>
            <a:r>
              <a:rPr lang="en-US" sz="1200"/>
              <a:t>Evaluación Competitiva</a:t>
            </a:r>
          </a:p>
          <a:p>
            <a:pPr algn="ctr">
              <a:defRPr sz="900" b="1">
                <a:solidFill>
                  <a:srgbClr val="00338D"/>
                </a:solidFill>
                <a:latin typeface="Arial"/>
                <a:ea typeface="Arial"/>
                <a:cs typeface="Arial"/>
              </a:defRPr>
            </a:pPr>
            <a:r>
              <a:rPr lang="en-US" sz="1200"/>
              <a:t>Todos</a:t>
            </a:r>
            <a:r>
              <a:rPr lang="en-US" sz="1200" baseline="0"/>
              <a:t> los CEEs</a:t>
            </a:r>
          </a:p>
        </c:rich>
      </c:tx>
      <c:layout>
        <c:manualLayout>
          <c:xMode val="edge"/>
          <c:yMode val="edge"/>
          <c:x val="0.26608695652173914"/>
          <c:y val="4.4171076976033813E-2"/>
        </c:manualLayout>
      </c:layout>
    </c:title>
    <c:plotArea>
      <c:layout>
        <c:manualLayout>
          <c:layoutTarget val="inner"/>
          <c:xMode val="edge"/>
          <c:yMode val="edge"/>
          <c:x val="0.32491910155843168"/>
          <c:y val="0.24742825179639663"/>
          <c:w val="0.29976019746911287"/>
          <c:h val="0.49107056739859101"/>
        </c:manualLayout>
      </c:layout>
      <c:pie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Lbls>
            <c:spPr>
              <a:noFill/>
              <a:ln>
                <a:noFill/>
              </a:ln>
              <a:effectLst/>
            </c:spPr>
            <c:txPr>
              <a:bodyPr/>
              <a:lstStyle/>
              <a:p>
                <a:pPr>
                  <a:defRPr sz="1100"/>
                </a:pPr>
                <a:endParaRPr lang="es-ES"/>
              </a:p>
            </c:txPr>
            <c:showPercent val="1"/>
            <c:showLeaderLines val="1"/>
            <c:leaderLines>
              <c:spPr>
                <a:ln>
                  <a:solidFill>
                    <a:srgbClr val="000000"/>
                  </a:solidFill>
                  <a:prstDash val="solid"/>
                </a:ln>
              </c:spPr>
            </c:leaderLines>
            <c:extLst>
              <c:ext xmlns:c15="http://schemas.microsoft.com/office/drawing/2012/chart" uri="{CE6537A1-D6FC-4f65-9D91-7224C49458BB}"/>
            </c:extLst>
          </c:dLbls>
          <c:cat>
            <c:strRef>
              <c:f>'Puntuaciones tras cambios'!$A$695:$A$696</c:f>
              <c:strCache>
                <c:ptCount val="2"/>
                <c:pt idx="0">
                  <c:v>Resultado superior a 50 puntos sobre 100</c:v>
                </c:pt>
                <c:pt idx="1">
                  <c:v>Resultado inferior a 50 puntos sobre 100</c:v>
                </c:pt>
              </c:strCache>
            </c:strRef>
          </c:cat>
          <c:val>
            <c:numRef>
              <c:f>'Puntuaciones tras cambios'!$C$695:$C$696</c:f>
              <c:numCache>
                <c:formatCode>0.0%</c:formatCode>
                <c:ptCount val="2"/>
                <c:pt idx="0">
                  <c:v>0.28000000000000008</c:v>
                </c:pt>
                <c:pt idx="1">
                  <c:v>0.72000000000000008</c:v>
                </c:pt>
              </c:numCache>
            </c:numRef>
          </c:val>
        </c:ser>
        <c:dLbls/>
        <c:firstSliceAng val="0"/>
      </c:pieChart>
      <c:spPr>
        <a:noFill/>
        <a:ln w="25400">
          <a:noFill/>
        </a:ln>
      </c:spPr>
    </c:plotArea>
    <c:legend>
      <c:legendPos val="r"/>
      <c:layout>
        <c:manualLayout>
          <c:xMode val="edge"/>
          <c:yMode val="edge"/>
          <c:x val="0.20768897160428068"/>
          <c:y val="0.79255869930127187"/>
          <c:w val="0.61930903706173412"/>
          <c:h val="0.17278935122004491"/>
        </c:manualLayout>
      </c:layout>
      <c:spPr>
        <a:noFill/>
        <a:ln w="25400">
          <a:noFill/>
        </a:ln>
      </c:spPr>
      <c:txPr>
        <a:bodyPr/>
        <a:lstStyle/>
        <a:p>
          <a:pPr rtl="0">
            <a:defRPr sz="900">
              <a:solidFill>
                <a:srgbClr val="000000"/>
              </a:solidFill>
            </a:defRPr>
          </a:pPr>
          <a:endParaRPr lang="es-ES"/>
        </a:p>
      </c:txPr>
    </c:legend>
    <c:plotVisOnly val="1"/>
    <c:dispBlanksAs val="zero"/>
  </c:chart>
  <c:spPr>
    <a:solidFill>
      <a:schemeClr val="bg1"/>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
              <a:t>Distribución de</a:t>
            </a:r>
            <a:r>
              <a:rPr lang="es-ES" baseline="0"/>
              <a:t> calificaciones de</a:t>
            </a:r>
            <a:r>
              <a:rPr lang="es-ES"/>
              <a:t> posición competitiva</a:t>
            </a:r>
            <a:endParaRPr lang="es-ES" baseline="0"/>
          </a:p>
        </c:rich>
      </c:tx>
      <c:layout>
        <c:manualLayout>
          <c:xMode val="edge"/>
          <c:yMode val="edge"/>
          <c:x val="0.16883869779435468"/>
          <c:y val="3.6113906814279804E-3"/>
        </c:manualLayout>
      </c:layout>
      <c:spPr>
        <a:noFill/>
        <a:ln>
          <a:noFill/>
        </a:ln>
        <a:effectLst/>
      </c:spPr>
    </c:title>
    <c:plotArea>
      <c:layout>
        <c:manualLayout>
          <c:layoutTarget val="inner"/>
          <c:xMode val="edge"/>
          <c:yMode val="edge"/>
          <c:x val="0.15508796400449948"/>
          <c:y val="0.15212491052254834"/>
          <c:w val="0.79062632170978631"/>
          <c:h val="0.76032211882605572"/>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Histogramas!$W$4:$W$8</c:f>
              <c:strCache>
                <c:ptCount val="5"/>
                <c:pt idx="0">
                  <c:v>&lt;=20</c:v>
                </c:pt>
                <c:pt idx="1">
                  <c:v>20-40</c:v>
                </c:pt>
                <c:pt idx="2">
                  <c:v>40-60</c:v>
                </c:pt>
                <c:pt idx="3">
                  <c:v>60-80</c:v>
                </c:pt>
                <c:pt idx="4">
                  <c:v>&gt;80</c:v>
                </c:pt>
              </c:strCache>
            </c:strRef>
          </c:cat>
          <c:val>
            <c:numRef>
              <c:f>Histogramas!$X$4:$X$8</c:f>
              <c:numCache>
                <c:formatCode>General</c:formatCode>
                <c:ptCount val="5"/>
                <c:pt idx="0">
                  <c:v>31</c:v>
                </c:pt>
                <c:pt idx="1">
                  <c:v>57</c:v>
                </c:pt>
                <c:pt idx="2">
                  <c:v>38</c:v>
                </c:pt>
                <c:pt idx="3">
                  <c:v>20</c:v>
                </c:pt>
                <c:pt idx="4">
                  <c:v>4</c:v>
                </c:pt>
              </c:numCache>
            </c:numRef>
          </c:val>
        </c:ser>
        <c:dLbls>
          <c:showVal val="1"/>
        </c:dLbls>
        <c:gapWidth val="40"/>
        <c:axId val="130466944"/>
        <c:axId val="130468480"/>
      </c:barChart>
      <c:catAx>
        <c:axId val="130466944"/>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0468480"/>
        <c:crosses val="autoZero"/>
        <c:auto val="1"/>
        <c:lblAlgn val="ctr"/>
        <c:lblOffset val="100"/>
      </c:catAx>
      <c:valAx>
        <c:axId val="130468480"/>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2.5714285714285714E-2"/>
              <c:y val="0.36586542591267018"/>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0466944"/>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6.8962595891729914E-2"/>
          <c:y val="0.11304637940665579"/>
          <c:w val="0.5124518894597635"/>
          <c:h val="0.77390693510250064"/>
        </c:manualLayout>
      </c:layout>
      <c:doughnutChart>
        <c:varyColors val="1"/>
        <c:ser>
          <c:idx val="0"/>
          <c:order val="0"/>
          <c:dLbls>
            <c:dLbl>
              <c:idx val="3"/>
              <c:layout>
                <c:manualLayout>
                  <c:x val="1.5805460214909063E-2"/>
                  <c:y val="3.3808911336282166E-2"/>
                </c:manualLayout>
              </c:layout>
              <c:tx>
                <c:rich>
                  <a:bodyPr/>
                  <a:lstStyle/>
                  <a:p>
                    <a:r>
                      <a:rPr lang="en-US" sz="1200"/>
                      <a:t>11%</a:t>
                    </a:r>
                  </a:p>
                </c:rich>
              </c:tx>
              <c:showVal val="1"/>
              <c:extLst>
                <c:ext xmlns:c15="http://schemas.microsoft.com/office/drawing/2012/chart" uri="{CE6537A1-D6FC-4f65-9D91-7224C49458BB}"/>
              </c:extLst>
            </c:dLbl>
            <c:spPr>
              <a:noFill/>
              <a:ln>
                <a:noFill/>
              </a:ln>
              <a:effectLst/>
            </c:spPr>
            <c:txPr>
              <a:bodyPr/>
              <a:lstStyle/>
              <a:p>
                <a:pPr>
                  <a:defRPr sz="1200" b="1">
                    <a:solidFill>
                      <a:schemeClr val="bg1"/>
                    </a:solidFill>
                  </a:defRPr>
                </a:pPr>
                <a:endParaRPr lang="es-ES"/>
              </a:p>
            </c:txPr>
            <c:showVal val="1"/>
            <c:showLeaderLines val="1"/>
            <c:extLst>
              <c:ext xmlns:c15="http://schemas.microsoft.com/office/drawing/2012/chart" uri="{CE6537A1-D6FC-4f65-9D91-7224C49458BB}"/>
            </c:extLst>
          </c:dLbls>
          <c:cat>
            <c:strRef>
              <c:f>'Indicadores Posición Compet.'!$BD$4:$BD$11</c:f>
              <c:strCache>
                <c:ptCount val="8"/>
                <c:pt idx="0">
                  <c:v>Sector de actividad de alto potencial de crecimiento</c:v>
                </c:pt>
                <c:pt idx="1">
                  <c:v>Sector de actividad de alto potencial de exportación</c:v>
                </c:pt>
                <c:pt idx="2">
                  <c:v>Sector de actividad de la salud, tecnologías de la información y economía verde</c:v>
                </c:pt>
                <c:pt idx="3">
                  <c:v>Sector de actividad de muy alto VAB/empleado</c:v>
                </c:pt>
                <c:pt idx="4">
                  <c:v>Sector de actividad de muy alto potencial de generación de riqueza</c:v>
                </c:pt>
                <c:pt idx="5">
                  <c:v>Evolución positiva de las ventas en  en los últimos dos años</c:v>
                </c:pt>
                <c:pt idx="6">
                  <c:v>Resultados positivos dos años consecutivos</c:v>
                </c:pt>
                <c:pt idx="7">
                  <c:v>Sector de actividad con alta intensidad de inversión en I+D</c:v>
                </c:pt>
              </c:strCache>
            </c:strRef>
          </c:cat>
          <c:val>
            <c:numRef>
              <c:f>'Indicadores Posición Compet.'!$BG$4:$BG$11</c:f>
              <c:numCache>
                <c:formatCode>0%</c:formatCode>
                <c:ptCount val="8"/>
                <c:pt idx="0">
                  <c:v>0.49704142011834318</c:v>
                </c:pt>
                <c:pt idx="1">
                  <c:v>0.21301775147928997</c:v>
                </c:pt>
                <c:pt idx="2">
                  <c:v>7.6923076923076927E-2</c:v>
                </c:pt>
                <c:pt idx="3">
                  <c:v>0.11242603550295859</c:v>
                </c:pt>
                <c:pt idx="4">
                  <c:v>0.15384615384615391</c:v>
                </c:pt>
                <c:pt idx="5">
                  <c:v>0.4866666666666668</c:v>
                </c:pt>
                <c:pt idx="6">
                  <c:v>0.46357615894039733</c:v>
                </c:pt>
                <c:pt idx="7">
                  <c:v>0.25443786982248534</c:v>
                </c:pt>
              </c:numCache>
            </c:numRef>
          </c:val>
        </c:ser>
        <c:dLbls/>
        <c:firstSliceAng val="0"/>
        <c:holeSize val="50"/>
      </c:doughnutChart>
    </c:plotArea>
    <c:legend>
      <c:legendPos val="r"/>
      <c:layout>
        <c:manualLayout>
          <c:xMode val="edge"/>
          <c:yMode val="edge"/>
          <c:x val="0.65666136605842773"/>
          <c:y val="4.3856450361867388E-2"/>
          <c:w val="0.32831421926772747"/>
          <c:h val="0.86401412072698924"/>
        </c:manualLayout>
      </c:layout>
      <c:txPr>
        <a:bodyPr/>
        <a:lstStyle/>
        <a:p>
          <a:pPr rtl="0">
            <a:defRPr sz="900"/>
          </a:pPr>
          <a:endParaRPr lang="es-ES"/>
        </a:p>
      </c:txPr>
    </c:legend>
    <c:plotVisOnly val="1"/>
    <c:dispBlanksAs val="zero"/>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1200" b="1">
                <a:solidFill>
                  <a:srgbClr val="00338D"/>
                </a:solidFill>
                <a:latin typeface="Arial"/>
                <a:ea typeface="Arial"/>
                <a:cs typeface="Arial"/>
              </a:defRPr>
            </a:pPr>
            <a:r>
              <a:rPr lang="en-US" sz="1200"/>
              <a:t>Evaluación Social</a:t>
            </a:r>
          </a:p>
          <a:p>
            <a:pPr algn="ctr">
              <a:defRPr sz="1200" b="1">
                <a:solidFill>
                  <a:srgbClr val="00338D"/>
                </a:solidFill>
                <a:latin typeface="Arial"/>
                <a:ea typeface="Arial"/>
                <a:cs typeface="Arial"/>
              </a:defRPr>
            </a:pPr>
            <a:r>
              <a:rPr lang="en-US" sz="1200"/>
              <a:t>Todos los CEEs</a:t>
            </a:r>
          </a:p>
        </c:rich>
      </c:tx>
      <c:layout>
        <c:manualLayout>
          <c:xMode val="edge"/>
          <c:yMode val="edge"/>
          <c:x val="0.294372294372298"/>
          <c:y val="4.6790280247227603E-2"/>
        </c:manualLayout>
      </c:layout>
    </c:title>
    <c:plotArea>
      <c:layout>
        <c:manualLayout>
          <c:layoutTarget val="inner"/>
          <c:xMode val="edge"/>
          <c:yMode val="edge"/>
          <c:x val="0.32285714285714462"/>
          <c:y val="0.25454545454545424"/>
          <c:w val="0.33142857142857507"/>
          <c:h val="0.52727272727272656"/>
        </c:manualLayout>
      </c:layout>
      <c:pie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Lbls>
            <c:dLbl>
              <c:idx val="1"/>
              <c:layout>
                <c:manualLayout>
                  <c:x val="4.0047057466149096E-2"/>
                  <c:y val="0.13784148278128974"/>
                </c:manualLayout>
              </c:layout>
              <c:showPercent val="1"/>
              <c:extLst>
                <c:ext xmlns:c15="http://schemas.microsoft.com/office/drawing/2012/chart" uri="{CE6537A1-D6FC-4f65-9D91-7224C49458BB}"/>
              </c:extLst>
            </c:dLbl>
            <c:spPr>
              <a:noFill/>
              <a:ln>
                <a:noFill/>
              </a:ln>
              <a:effectLst/>
            </c:spPr>
            <c:txPr>
              <a:bodyPr/>
              <a:lstStyle/>
              <a:p>
                <a:pPr>
                  <a:defRPr sz="1100"/>
                </a:pPr>
                <a:endParaRPr lang="es-ES"/>
              </a:p>
            </c:txPr>
            <c:showPercent val="1"/>
            <c:showLeaderLines val="1"/>
            <c:leaderLines>
              <c:spPr>
                <a:ln>
                  <a:solidFill>
                    <a:srgbClr val="000000"/>
                  </a:solidFill>
                  <a:prstDash val="solid"/>
                </a:ln>
              </c:spPr>
            </c:leaderLines>
            <c:extLst>
              <c:ext xmlns:c15="http://schemas.microsoft.com/office/drawing/2012/chart" uri="{CE6537A1-D6FC-4f65-9D91-7224C49458BB}"/>
            </c:extLst>
          </c:dLbls>
          <c:cat>
            <c:strRef>
              <c:f>'Puntuaciones tras cambios'!$A$695:$A$696</c:f>
              <c:strCache>
                <c:ptCount val="2"/>
                <c:pt idx="0">
                  <c:v>Resultado superior a 50 puntos sobre 100</c:v>
                </c:pt>
                <c:pt idx="1">
                  <c:v>Resultado inferior a 50 puntos sobre 100</c:v>
                </c:pt>
              </c:strCache>
            </c:strRef>
          </c:cat>
          <c:val>
            <c:numRef>
              <c:f>'Puntuaciones tras cambios'!$D$695:$D$696</c:f>
              <c:numCache>
                <c:formatCode>0%</c:formatCode>
                <c:ptCount val="2"/>
                <c:pt idx="0">
                  <c:v>0.92993630573248398</c:v>
                </c:pt>
                <c:pt idx="1">
                  <c:v>7.0063694267515936E-2</c:v>
                </c:pt>
              </c:numCache>
            </c:numRef>
          </c:val>
        </c:ser>
        <c:dLbls/>
        <c:firstSliceAng val="0"/>
      </c:pieChart>
      <c:spPr>
        <a:noFill/>
        <a:ln w="25400">
          <a:noFill/>
        </a:ln>
      </c:spPr>
    </c:plotArea>
    <c:legend>
      <c:legendPos val="r"/>
      <c:layout>
        <c:manualLayout>
          <c:xMode val="edge"/>
          <c:yMode val="edge"/>
          <c:x val="0.1264931062048277"/>
          <c:y val="0.81985310603490369"/>
          <c:w val="0.73104446697049374"/>
          <c:h val="0.14694895938122129"/>
        </c:manualLayout>
      </c:layout>
      <c:spPr>
        <a:noFill/>
        <a:ln w="25400">
          <a:noFill/>
        </a:ln>
      </c:spPr>
      <c:txPr>
        <a:bodyPr/>
        <a:lstStyle/>
        <a:p>
          <a:pPr rtl="0">
            <a:defRPr sz="900">
              <a:solidFill>
                <a:srgbClr val="000000"/>
              </a:solidFill>
            </a:defRPr>
          </a:pPr>
          <a:endParaRPr lang="es-ES"/>
        </a:p>
      </c:txPr>
    </c:legend>
    <c:plotVisOnly val="1"/>
    <c:dispBlanksAs val="zero"/>
  </c:chart>
  <c:spPr>
    <a:solidFill>
      <a:sysClr val="window" lastClr="FFFFFF"/>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_tradnl" sz="900" b="1" i="0" u="none" strike="noStrike" baseline="0">
                <a:effectLst/>
              </a:rPr>
              <a:t>Distribución</a:t>
            </a:r>
            <a:r>
              <a:rPr lang="es-ES" baseline="0"/>
              <a:t> de calificaciones de impacto social </a:t>
            </a:r>
            <a:endParaRPr lang="es-ES"/>
          </a:p>
        </c:rich>
      </c:tx>
      <c:layout>
        <c:manualLayout>
          <c:xMode val="edge"/>
          <c:yMode val="edge"/>
          <c:x val="0.18586755965849103"/>
          <c:y val="4.5584045584045579E-2"/>
        </c:manualLayout>
      </c:layout>
      <c:spPr>
        <a:noFill/>
        <a:ln>
          <a:noFill/>
        </a:ln>
        <a:effectLst/>
      </c:spPr>
    </c:title>
    <c:plotArea>
      <c:layout>
        <c:manualLayout>
          <c:layoutTarget val="inner"/>
          <c:xMode val="edge"/>
          <c:yMode val="edge"/>
          <c:x val="0.11794510686164229"/>
          <c:y val="0.20667036506800288"/>
          <c:w val="0.84491203599550069"/>
          <c:h val="0.66032211882605596"/>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Histogramas!$AF$4:$AF$9</c:f>
              <c:strCache>
                <c:ptCount val="6"/>
                <c:pt idx="0">
                  <c:v>&lt;=50</c:v>
                </c:pt>
                <c:pt idx="1">
                  <c:v>50-60</c:v>
                </c:pt>
                <c:pt idx="2">
                  <c:v>60-70</c:v>
                </c:pt>
                <c:pt idx="3">
                  <c:v>70-80</c:v>
                </c:pt>
                <c:pt idx="4">
                  <c:v>80-90</c:v>
                </c:pt>
                <c:pt idx="5">
                  <c:v>&gt;90</c:v>
                </c:pt>
              </c:strCache>
            </c:strRef>
          </c:cat>
          <c:val>
            <c:numRef>
              <c:f>Histogramas!$AG$4:$AG$9</c:f>
              <c:numCache>
                <c:formatCode>General</c:formatCode>
                <c:ptCount val="6"/>
                <c:pt idx="0">
                  <c:v>24</c:v>
                </c:pt>
                <c:pt idx="1">
                  <c:v>20</c:v>
                </c:pt>
                <c:pt idx="2">
                  <c:v>56</c:v>
                </c:pt>
                <c:pt idx="3">
                  <c:v>33</c:v>
                </c:pt>
                <c:pt idx="4">
                  <c:v>23</c:v>
                </c:pt>
                <c:pt idx="5">
                  <c:v>1</c:v>
                </c:pt>
              </c:numCache>
            </c:numRef>
          </c:val>
        </c:ser>
        <c:dLbls>
          <c:showVal val="1"/>
        </c:dLbls>
        <c:gapWidth val="40"/>
        <c:axId val="130748416"/>
        <c:axId val="130749952"/>
      </c:barChart>
      <c:catAx>
        <c:axId val="130748416"/>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0749952"/>
        <c:crosses val="autoZero"/>
        <c:auto val="1"/>
        <c:lblAlgn val="ctr"/>
        <c:lblOffset val="100"/>
      </c:catAx>
      <c:valAx>
        <c:axId val="130749952"/>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2.5714285714285714E-2"/>
              <c:y val="0.3204108804581246"/>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0748416"/>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Equidad salarial por estructura de la</a:t>
            </a:r>
            <a:r>
              <a:rPr lang="es-ES" baseline="0"/>
              <a:t> propiedad, 2012</a:t>
            </a:r>
          </a:p>
          <a:p>
            <a:pPr algn="l">
              <a:defRPr sz="900" b="1">
                <a:solidFill>
                  <a:srgbClr val="00338D"/>
                </a:solidFill>
                <a:latin typeface="Arial"/>
                <a:ea typeface="Arial"/>
                <a:cs typeface="Arial"/>
              </a:defRPr>
            </a:pPr>
            <a:r>
              <a:rPr lang="es-ES" baseline="0"/>
              <a:t>Tomando salario medio = 12.000 €</a:t>
            </a:r>
          </a:p>
        </c:rich>
      </c:tx>
      <c:layout>
        <c:manualLayout>
          <c:xMode val="edge"/>
          <c:yMode val="edge"/>
          <c:x val="0.22056805779602096"/>
          <c:y val="1.5037593984962398E-3"/>
        </c:manualLayout>
      </c:layout>
    </c:title>
    <c:plotArea>
      <c:layout>
        <c:manualLayout>
          <c:layoutTarget val="inner"/>
          <c:xMode val="edge"/>
          <c:yMode val="edge"/>
          <c:x val="0.12430213723284589"/>
          <c:y val="0.1527158196134574"/>
          <c:w val="0.81569786276715461"/>
          <c:h val="0.71309472679551711"/>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1200"/>
                </a:pPr>
                <a:endParaRPr lang="es-ES"/>
              </a:p>
            </c:txPr>
            <c:dLblPos val="ctr"/>
            <c:showVal val="1"/>
            <c:extLst>
              <c:ext xmlns:c15="http://schemas.microsoft.com/office/drawing/2012/chart" uri="{CE6537A1-D6FC-4f65-9D91-7224C49458BB}">
                <c15:showLeaderLines val="0"/>
              </c:ext>
            </c:extLst>
          </c:dLbls>
          <c:cat>
            <c:strRef>
              <c:f>'Indicadores Sociales'!$C$251:$C$253</c:f>
              <c:strCache>
                <c:ptCount val="3"/>
                <c:pt idx="0">
                  <c:v>Todos los CEEs</c:v>
                </c:pt>
                <c:pt idx="1">
                  <c:v>Iniciativa Social</c:v>
                </c:pt>
                <c:pt idx="2">
                  <c:v>Iniciativa Empresarial</c:v>
                </c:pt>
              </c:strCache>
            </c:strRef>
          </c:cat>
          <c:val>
            <c:numRef>
              <c:f>'Indicadores Sociales'!$D$251:$D$253</c:f>
              <c:numCache>
                <c:formatCode>0.00</c:formatCode>
                <c:ptCount val="3"/>
                <c:pt idx="0" formatCode="General">
                  <c:v>1.41</c:v>
                </c:pt>
                <c:pt idx="1">
                  <c:v>1.1370621786439479</c:v>
                </c:pt>
                <c:pt idx="2">
                  <c:v>1.5326478337383613</c:v>
                </c:pt>
              </c:numCache>
            </c:numRef>
          </c:val>
        </c:ser>
        <c:dLbls/>
        <c:gapWidth val="40"/>
        <c:axId val="130777856"/>
        <c:axId val="130779392"/>
      </c:barChart>
      <c:catAx>
        <c:axId val="130777856"/>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30779392"/>
        <c:crosses val="autoZero"/>
        <c:auto val="1"/>
        <c:lblAlgn val="ctr"/>
        <c:lblOffset val="100"/>
      </c:catAx>
      <c:valAx>
        <c:axId val="130779392"/>
        <c:scaling>
          <c:orientation val="minMax"/>
        </c:scaling>
        <c:axPos val="l"/>
        <c:title>
          <c:tx>
            <c:rich>
              <a:bodyPr rot="-5400000" vert="horz"/>
              <a:lstStyle/>
              <a:p>
                <a:pPr>
                  <a:defRPr>
                    <a:solidFill>
                      <a:srgbClr val="000000"/>
                    </a:solidFill>
                  </a:defRPr>
                </a:pPr>
                <a:r>
                  <a:rPr lang="en-US"/>
                  <a:t>Ratio</a:t>
                </a:r>
                <a:r>
                  <a:rPr lang="en-US" baseline="0"/>
                  <a:t> Medio de Equidad Salarial</a:t>
                </a:r>
              </a:p>
            </c:rich>
          </c:tx>
          <c:layout>
            <c:manualLayout>
              <c:xMode val="edge"/>
              <c:yMode val="edge"/>
              <c:x val="2.5714285714285714E-2"/>
              <c:y val="0.20193378668575523"/>
            </c:manualLayout>
          </c:layout>
        </c:title>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30777856"/>
        <c:crosses val="autoZero"/>
        <c:crossBetween val="between"/>
      </c:valAx>
      <c:spPr>
        <a:noFill/>
        <a:ln w="25400">
          <a:noFill/>
        </a:ln>
      </c:spPr>
    </c:plotArea>
    <c:plotVisOnly val="1"/>
    <c:dispBlanksAs val="gap"/>
  </c:chart>
  <c:spPr>
    <a:solidFill>
      <a:sysClr val="window" lastClr="FFFFFF"/>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
              <a:t>Distribución</a:t>
            </a:r>
            <a:r>
              <a:rPr lang="es-ES" baseline="0"/>
              <a:t> de ratios de equidad salarial</a:t>
            </a:r>
            <a:r>
              <a:rPr lang="es-ES"/>
              <a:t> de los CEEs, tomando salario medio = 12.000 euros</a:t>
            </a:r>
          </a:p>
        </c:rich>
      </c:tx>
      <c:layout>
        <c:manualLayout>
          <c:xMode val="edge"/>
          <c:yMode val="edge"/>
          <c:x val="0.14857142857142863"/>
          <c:y val="0"/>
        </c:manualLayout>
      </c:layout>
      <c:spPr>
        <a:noFill/>
        <a:ln>
          <a:noFill/>
        </a:ln>
        <a:effectLst/>
      </c:spPr>
    </c:title>
    <c:plotArea>
      <c:layout>
        <c:manualLayout>
          <c:layoutTarget val="inner"/>
          <c:xMode val="edge"/>
          <c:yMode val="edge"/>
          <c:x val="0.11794510686164229"/>
          <c:y val="0.22808137488561056"/>
          <c:w val="0.80727757186533888"/>
          <c:h val="0.66163896179644199"/>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Histogramas!$BN$4:$BN$9</c:f>
              <c:strCache>
                <c:ptCount val="6"/>
                <c:pt idx="0">
                  <c:v>0-0,5</c:v>
                </c:pt>
                <c:pt idx="1">
                  <c:v>0,5-1</c:v>
                </c:pt>
                <c:pt idx="2">
                  <c:v>1-1,5</c:v>
                </c:pt>
                <c:pt idx="3">
                  <c:v>1,5-2</c:v>
                </c:pt>
                <c:pt idx="4">
                  <c:v>2-2,5</c:v>
                </c:pt>
                <c:pt idx="5">
                  <c:v>2,5-8</c:v>
                </c:pt>
              </c:strCache>
            </c:strRef>
          </c:cat>
          <c:val>
            <c:numRef>
              <c:f>Histogramas!$BO$4:$BO$9</c:f>
              <c:numCache>
                <c:formatCode>General</c:formatCode>
                <c:ptCount val="6"/>
                <c:pt idx="0">
                  <c:v>9</c:v>
                </c:pt>
                <c:pt idx="1">
                  <c:v>45</c:v>
                </c:pt>
                <c:pt idx="2">
                  <c:v>52</c:v>
                </c:pt>
                <c:pt idx="3">
                  <c:v>19</c:v>
                </c:pt>
                <c:pt idx="4">
                  <c:v>10</c:v>
                </c:pt>
                <c:pt idx="5">
                  <c:v>12</c:v>
                </c:pt>
              </c:numCache>
            </c:numRef>
          </c:val>
        </c:ser>
        <c:dLbls>
          <c:showVal val="1"/>
        </c:dLbls>
        <c:gapWidth val="40"/>
        <c:axId val="132660224"/>
        <c:axId val="132670208"/>
      </c:barChart>
      <c:catAx>
        <c:axId val="132660224"/>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2670208"/>
        <c:crosses val="autoZero"/>
        <c:auto val="1"/>
        <c:lblAlgn val="ctr"/>
        <c:lblOffset val="100"/>
      </c:catAx>
      <c:valAx>
        <c:axId val="132670208"/>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1.4145216663535279E-2"/>
              <c:y val="0.37660482094910558"/>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2660224"/>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s-ES"/>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338D"/>
                </a:solidFill>
                <a:latin typeface="Arial"/>
                <a:ea typeface="Arial"/>
                <a:cs typeface="Arial"/>
              </a:defRPr>
            </a:pPr>
            <a:r>
              <a:rPr lang="es-ES" sz="900" b="1" i="0" baseline="0"/>
              <a:t>Liquidez de los CEEs según rango de equidad salarial</a:t>
            </a:r>
          </a:p>
          <a:p>
            <a:pPr marL="0" marR="0" indent="0" algn="l"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338D"/>
                </a:solidFill>
                <a:latin typeface="Arial"/>
                <a:ea typeface="Arial"/>
                <a:cs typeface="Arial"/>
              </a:defRPr>
            </a:pPr>
            <a:r>
              <a:rPr lang="es-ES" sz="900" b="1" i="0" baseline="0"/>
              <a:t> </a:t>
            </a:r>
            <a:r>
              <a:rPr lang="es-ES" sz="900" b="1" i="0" u="none" strike="noStrike" baseline="0"/>
              <a:t>Tomando salario medio = 12.000 €</a:t>
            </a:r>
            <a:endParaRPr lang="es-ES" sz="900"/>
          </a:p>
        </c:rich>
      </c:tx>
      <c:layout>
        <c:manualLayout>
          <c:xMode val="edge"/>
          <c:yMode val="edge"/>
          <c:x val="0.20249135037555949"/>
          <c:y val="3.2772939709991964E-4"/>
        </c:manualLayout>
      </c:layout>
    </c:title>
    <c:plotArea>
      <c:layout>
        <c:manualLayout>
          <c:layoutTarget val="inner"/>
          <c:xMode val="edge"/>
          <c:yMode val="edge"/>
          <c:x val="8.6061932841354466E-2"/>
          <c:y val="0.20316640509793776"/>
          <c:w val="0.83163761480487886"/>
          <c:h val="0.54812188355590163"/>
        </c:manualLayout>
      </c:layout>
      <c:barChart>
        <c:barDir val="col"/>
        <c:grouping val="percentStacked"/>
        <c:ser>
          <c:idx val="0"/>
          <c:order val="0"/>
          <c:tx>
            <c:strRef>
              <c:f>'Indicadores Sociales'!$B$452</c:f>
              <c:strCache>
                <c:ptCount val="1"/>
                <c:pt idx="0">
                  <c:v>CEEs con liquidez &gt; = 1</c:v>
                </c:pt>
              </c:strCache>
            </c:strRef>
          </c:tx>
          <c:spPr>
            <a:solidFill>
              <a:srgbClr val="409DAD"/>
            </a:solidFill>
            <a:ln w="3175">
              <a:solidFill>
                <a:srgbClr val="FFFFFF"/>
              </a:solidFill>
              <a:prstDash val="solid"/>
            </a:ln>
          </c:spPr>
          <c:dLbls>
            <c:spPr>
              <a:noFill/>
              <a:ln>
                <a:noFill/>
              </a:ln>
              <a:effectLst/>
            </c:spPr>
            <c:txPr>
              <a:bodyPr/>
              <a:lstStyle/>
              <a:p>
                <a:pPr>
                  <a:defRPr sz="1200">
                    <a:solidFill>
                      <a:srgbClr val="000000"/>
                    </a:solidFill>
                  </a:defRPr>
                </a:pPr>
                <a:endParaRPr lang="es-ES"/>
              </a:p>
            </c:txPr>
            <c:showVal val="1"/>
            <c:extLst>
              <c:ext xmlns:c15="http://schemas.microsoft.com/office/drawing/2012/chart" uri="{CE6537A1-D6FC-4f65-9D91-7224C49458BB}">
                <c15:showLeaderLines val="0"/>
              </c:ext>
            </c:extLst>
          </c:dLbls>
          <c:cat>
            <c:strRef>
              <c:f>('Indicadores Sociales'!$C$451,'Indicadores Sociales'!$G$451)</c:f>
              <c:strCache>
                <c:ptCount val="2"/>
                <c:pt idx="0">
                  <c:v>CEEs con salarios por encima del salario medio</c:v>
                </c:pt>
                <c:pt idx="1">
                  <c:v>CEEs con salarios inferiores al salario medio</c:v>
                </c:pt>
              </c:strCache>
            </c:strRef>
          </c:cat>
          <c:val>
            <c:numRef>
              <c:f>('Indicadores Sociales'!$D$452,'Indicadores Sociales'!$H$452)</c:f>
              <c:numCache>
                <c:formatCode>0%</c:formatCode>
                <c:ptCount val="2"/>
                <c:pt idx="0">
                  <c:v>0.66990291262135948</c:v>
                </c:pt>
                <c:pt idx="1">
                  <c:v>0.5892857142857143</c:v>
                </c:pt>
              </c:numCache>
            </c:numRef>
          </c:val>
        </c:ser>
        <c:ser>
          <c:idx val="1"/>
          <c:order val="1"/>
          <c:tx>
            <c:strRef>
              <c:f>'Indicadores Sociales'!$B$453</c:f>
              <c:strCache>
                <c:ptCount val="1"/>
                <c:pt idx="0">
                  <c:v>CEEs con liquidez &lt; 1</c:v>
                </c:pt>
              </c:strCache>
            </c:strRef>
          </c:tx>
          <c:spPr>
            <a:solidFill>
              <a:srgbClr val="BFDEE4"/>
            </a:solidFill>
            <a:ln w="3175">
              <a:solidFill>
                <a:srgbClr val="FFFFFF"/>
              </a:solidFill>
              <a:prstDash val="solid"/>
            </a:ln>
          </c:spPr>
          <c:dLbls>
            <c:spPr>
              <a:noFill/>
              <a:ln>
                <a:noFill/>
              </a:ln>
              <a:effectLst/>
            </c:spPr>
            <c:txPr>
              <a:bodyPr/>
              <a:lstStyle/>
              <a:p>
                <a:pPr>
                  <a:defRPr sz="1200">
                    <a:solidFill>
                      <a:srgbClr val="000000"/>
                    </a:solidFill>
                  </a:defRPr>
                </a:pPr>
                <a:endParaRPr lang="es-ES"/>
              </a:p>
            </c:txPr>
            <c:showVal val="1"/>
            <c:extLst>
              <c:ext xmlns:c15="http://schemas.microsoft.com/office/drawing/2012/chart" uri="{CE6537A1-D6FC-4f65-9D91-7224C49458BB}">
                <c15:showLeaderLines val="0"/>
              </c:ext>
            </c:extLst>
          </c:dLbls>
          <c:cat>
            <c:strRef>
              <c:f>('Indicadores Sociales'!$C$451,'Indicadores Sociales'!$G$451)</c:f>
              <c:strCache>
                <c:ptCount val="2"/>
                <c:pt idx="0">
                  <c:v>CEEs con salarios por encima del salario medio</c:v>
                </c:pt>
                <c:pt idx="1">
                  <c:v>CEEs con salarios inferiores al salario medio</c:v>
                </c:pt>
              </c:strCache>
            </c:strRef>
          </c:cat>
          <c:val>
            <c:numRef>
              <c:f>('Indicadores Sociales'!$D$453,'Indicadores Sociales'!$H$453)</c:f>
              <c:numCache>
                <c:formatCode>0%</c:formatCode>
                <c:ptCount val="2"/>
                <c:pt idx="0">
                  <c:v>0.33009708737864091</c:v>
                </c:pt>
                <c:pt idx="1">
                  <c:v>0.41071428571428581</c:v>
                </c:pt>
              </c:numCache>
            </c:numRef>
          </c:val>
        </c:ser>
        <c:dLbls/>
        <c:gapWidth val="40"/>
        <c:overlap val="100"/>
        <c:axId val="132699264"/>
        <c:axId val="132700800"/>
      </c:barChart>
      <c:catAx>
        <c:axId val="132699264"/>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32700800"/>
        <c:crosses val="autoZero"/>
        <c:auto val="1"/>
        <c:lblAlgn val="ctr"/>
        <c:lblOffset val="100"/>
      </c:catAx>
      <c:valAx>
        <c:axId val="132700800"/>
        <c:scaling>
          <c:orientation val="minMax"/>
        </c:scaling>
        <c:axPos val="l"/>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32699264"/>
        <c:crosses val="autoZero"/>
        <c:crossBetween val="between"/>
      </c:valAx>
      <c:spPr>
        <a:noFill/>
        <a:ln w="25400">
          <a:noFill/>
        </a:ln>
      </c:spPr>
    </c:plotArea>
    <c:legend>
      <c:legendPos val="r"/>
      <c:layout>
        <c:manualLayout>
          <c:xMode val="edge"/>
          <c:yMode val="edge"/>
          <c:x val="0.26269207380467685"/>
          <c:y val="0.82797458840372262"/>
          <c:w val="0.51663477042948314"/>
          <c:h val="0.14405082319255547"/>
        </c:manualLayout>
      </c:layout>
      <c:spPr>
        <a:noFill/>
        <a:ln w="25400">
          <a:noFill/>
        </a:ln>
      </c:spPr>
      <c:txPr>
        <a:bodyPr/>
        <a:lstStyle/>
        <a:p>
          <a:pPr>
            <a:defRPr>
              <a:solidFill>
                <a:srgbClr val="000000"/>
              </a:solidFill>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sz="900"/>
              <a:t>Correlación</a:t>
            </a:r>
            <a:r>
              <a:rPr lang="es-ES" sz="900" baseline="0"/>
              <a:t> entre e</a:t>
            </a:r>
            <a:r>
              <a:rPr lang="es-ES" sz="900"/>
              <a:t>quidad</a:t>
            </a:r>
            <a:r>
              <a:rPr lang="es-ES" sz="900" baseline="0"/>
              <a:t> salarial de los CEEs y años de antigüedad. Tomando salario medio = 12.000€</a:t>
            </a:r>
            <a:endParaRPr lang="es-ES" sz="900"/>
          </a:p>
        </c:rich>
      </c:tx>
      <c:layout>
        <c:manualLayout>
          <c:xMode val="edge"/>
          <c:yMode val="edge"/>
          <c:x val="0.12728608923884516"/>
          <c:y val="8.3601294024293771E-3"/>
        </c:manualLayout>
      </c:layout>
    </c:title>
    <c:plotArea>
      <c:layout>
        <c:manualLayout>
          <c:layoutTarget val="inner"/>
          <c:xMode val="edge"/>
          <c:yMode val="edge"/>
          <c:x val="0.10650190623982221"/>
          <c:y val="0.13166240157480319"/>
          <c:w val="0.85995191160545958"/>
          <c:h val="0.74451808631834693"/>
        </c:manualLayout>
      </c:layout>
      <c:scatterChart>
        <c:scatterStyle val="lineMarker"/>
        <c:ser>
          <c:idx val="0"/>
          <c:order val="0"/>
          <c:spPr>
            <a:ln w="28575">
              <a:noFill/>
            </a:ln>
          </c:spPr>
          <c:marker>
            <c:symbol val="diamond"/>
            <c:size val="5"/>
            <c:spPr>
              <a:solidFill>
                <a:srgbClr val="007C92"/>
              </a:solidFill>
              <a:ln>
                <a:solidFill>
                  <a:srgbClr val="007C92"/>
                </a:solidFill>
                <a:prstDash val="solid"/>
              </a:ln>
            </c:spPr>
          </c:marker>
          <c:trendline>
            <c:trendlineType val="linear"/>
          </c:trendline>
          <c:xVal>
            <c:numRef>
              <c:f>'Indicadores Sociales'!$D$79:$D$246</c:f>
              <c:numCache>
                <c:formatCode>0.00</c:formatCode>
                <c:ptCount val="168"/>
                <c:pt idx="0">
                  <c:v>1.7154166666666666</c:v>
                </c:pt>
                <c:pt idx="1">
                  <c:v>0.65070714285714293</c:v>
                </c:pt>
                <c:pt idx="2">
                  <c:v>0.53313333333333335</c:v>
                </c:pt>
                <c:pt idx="3">
                  <c:v>5.4614374999999997</c:v>
                </c:pt>
                <c:pt idx="4">
                  <c:v>0.78481818181818186</c:v>
                </c:pt>
                <c:pt idx="5">
                  <c:v>0.68825000000000003</c:v>
                </c:pt>
                <c:pt idx="6">
                  <c:v>2.2367166666666671</c:v>
                </c:pt>
                <c:pt idx="7">
                  <c:v>1.164933333333334</c:v>
                </c:pt>
                <c:pt idx="8">
                  <c:v>0.58989583333333406</c:v>
                </c:pt>
                <c:pt idx="9">
                  <c:v>1.0083333333333333</c:v>
                </c:pt>
                <c:pt idx="10">
                  <c:v>0.87916414141414134</c:v>
                </c:pt>
                <c:pt idx="11">
                  <c:v>1.1027258064516139</c:v>
                </c:pt>
                <c:pt idx="12">
                  <c:v>1.26864144736842</c:v>
                </c:pt>
                <c:pt idx="13" formatCode="General">
                  <c:v>0</c:v>
                </c:pt>
                <c:pt idx="14">
                  <c:v>1.4226944444444429</c:v>
                </c:pt>
                <c:pt idx="15">
                  <c:v>1.393579365079364</c:v>
                </c:pt>
                <c:pt idx="16">
                  <c:v>0.84444999999999992</c:v>
                </c:pt>
                <c:pt idx="17">
                  <c:v>0.75215686274509863</c:v>
                </c:pt>
                <c:pt idx="18">
                  <c:v>1.2180833333333341</c:v>
                </c:pt>
                <c:pt idx="19">
                  <c:v>1.0742222222222222</c:v>
                </c:pt>
                <c:pt idx="20">
                  <c:v>0.86147435897435909</c:v>
                </c:pt>
                <c:pt idx="21">
                  <c:v>1.0587071524966263</c:v>
                </c:pt>
                <c:pt idx="22">
                  <c:v>1.2180833333333341</c:v>
                </c:pt>
                <c:pt idx="23">
                  <c:v>0.92060408675799088</c:v>
                </c:pt>
                <c:pt idx="24">
                  <c:v>4.6555520833333333</c:v>
                </c:pt>
                <c:pt idx="25">
                  <c:v>0.90536511299435019</c:v>
                </c:pt>
                <c:pt idx="26">
                  <c:v>-7.9402777777777794E-2</c:v>
                </c:pt>
                <c:pt idx="27">
                  <c:v>0.62729666666666672</c:v>
                </c:pt>
                <c:pt idx="28">
                  <c:v>1.3524722222222221</c:v>
                </c:pt>
                <c:pt idx="29">
                  <c:v>1.0569375000000001</c:v>
                </c:pt>
                <c:pt idx="30">
                  <c:v>1.0316981249999999</c:v>
                </c:pt>
                <c:pt idx="31">
                  <c:v>0.90003174603174607</c:v>
                </c:pt>
                <c:pt idx="32">
                  <c:v>2.107902777777781</c:v>
                </c:pt>
                <c:pt idx="33">
                  <c:v>1.1806458333333349</c:v>
                </c:pt>
                <c:pt idx="34">
                  <c:v>1.047124999999999</c:v>
                </c:pt>
                <c:pt idx="35">
                  <c:v>1.1282083333333341</c:v>
                </c:pt>
                <c:pt idx="36">
                  <c:v>3.6066309523809554</c:v>
                </c:pt>
                <c:pt idx="37">
                  <c:v>1.0479333333333334</c:v>
                </c:pt>
                <c:pt idx="38">
                  <c:v>1.5991274509803919</c:v>
                </c:pt>
                <c:pt idx="39">
                  <c:v>116.58858333333328</c:v>
                </c:pt>
                <c:pt idx="40">
                  <c:v>1.0051643192488258</c:v>
                </c:pt>
                <c:pt idx="41">
                  <c:v>0.51833333333333331</c:v>
                </c:pt>
                <c:pt idx="42">
                  <c:v>27.134893274853805</c:v>
                </c:pt>
                <c:pt idx="43">
                  <c:v>0.97375757575757582</c:v>
                </c:pt>
                <c:pt idx="44">
                  <c:v>1.1632499999999999</c:v>
                </c:pt>
                <c:pt idx="45">
                  <c:v>57.975958333333331</c:v>
                </c:pt>
                <c:pt idx="46">
                  <c:v>0.85979166666666729</c:v>
                </c:pt>
                <c:pt idx="47">
                  <c:v>11.62555</c:v>
                </c:pt>
                <c:pt idx="48">
                  <c:v>11.691458333333333</c:v>
                </c:pt>
                <c:pt idx="49">
                  <c:v>0.95165384615384696</c:v>
                </c:pt>
                <c:pt idx="50" formatCode="General">
                  <c:v>0</c:v>
                </c:pt>
                <c:pt idx="51">
                  <c:v>0.89854166666666668</c:v>
                </c:pt>
                <c:pt idx="52">
                  <c:v>1.0912395833333333</c:v>
                </c:pt>
                <c:pt idx="53">
                  <c:v>0.64568055555555626</c:v>
                </c:pt>
                <c:pt idx="54">
                  <c:v>1.1027833333333341</c:v>
                </c:pt>
                <c:pt idx="55">
                  <c:v>2.4378755555555558</c:v>
                </c:pt>
                <c:pt idx="56">
                  <c:v>2.2523194444444443</c:v>
                </c:pt>
                <c:pt idx="57">
                  <c:v>1.323375</c:v>
                </c:pt>
                <c:pt idx="58">
                  <c:v>1.2813809523809518</c:v>
                </c:pt>
                <c:pt idx="59">
                  <c:v>1.8983379629629642</c:v>
                </c:pt>
                <c:pt idx="60">
                  <c:v>1.3134999999999988</c:v>
                </c:pt>
                <c:pt idx="61">
                  <c:v>1.742</c:v>
                </c:pt>
                <c:pt idx="62" formatCode="General">
                  <c:v>0</c:v>
                </c:pt>
                <c:pt idx="63">
                  <c:v>0.86159848484848534</c:v>
                </c:pt>
                <c:pt idx="64">
                  <c:v>1.3565</c:v>
                </c:pt>
                <c:pt idx="65">
                  <c:v>0.74242138364779875</c:v>
                </c:pt>
                <c:pt idx="66">
                  <c:v>0.86791666666666667</c:v>
                </c:pt>
                <c:pt idx="67">
                  <c:v>0.57704523809523878</c:v>
                </c:pt>
                <c:pt idx="68">
                  <c:v>0.68012698412698358</c:v>
                </c:pt>
                <c:pt idx="69">
                  <c:v>1.5940555555555569</c:v>
                </c:pt>
                <c:pt idx="70">
                  <c:v>1.398659090909091</c:v>
                </c:pt>
                <c:pt idx="71">
                  <c:v>0.41959848484848511</c:v>
                </c:pt>
                <c:pt idx="72">
                  <c:v>1.3906458333333349</c:v>
                </c:pt>
                <c:pt idx="73">
                  <c:v>1.1969791666666683</c:v>
                </c:pt>
                <c:pt idx="74">
                  <c:v>0.74833166666666662</c:v>
                </c:pt>
                <c:pt idx="75">
                  <c:v>-0.94125000000000003</c:v>
                </c:pt>
                <c:pt idx="76">
                  <c:v>1.5934583333333341</c:v>
                </c:pt>
                <c:pt idx="77">
                  <c:v>1.5549166666666667</c:v>
                </c:pt>
                <c:pt idx="78">
                  <c:v>1.5659833333333333</c:v>
                </c:pt>
                <c:pt idx="79">
                  <c:v>6.854475308641976E-2</c:v>
                </c:pt>
                <c:pt idx="80">
                  <c:v>47.045333333333332</c:v>
                </c:pt>
                <c:pt idx="81">
                  <c:v>0.9573333333333337</c:v>
                </c:pt>
                <c:pt idx="82">
                  <c:v>31.247366666666668</c:v>
                </c:pt>
                <c:pt idx="83">
                  <c:v>1.38882159090909</c:v>
                </c:pt>
                <c:pt idx="84">
                  <c:v>1.6512336956521725</c:v>
                </c:pt>
                <c:pt idx="85">
                  <c:v>1.7215916666666655</c:v>
                </c:pt>
                <c:pt idx="86">
                  <c:v>3.0824537037037016</c:v>
                </c:pt>
                <c:pt idx="87">
                  <c:v>1.6083333333333341</c:v>
                </c:pt>
                <c:pt idx="88">
                  <c:v>1.2143141025641018</c:v>
                </c:pt>
                <c:pt idx="89">
                  <c:v>1.1368666666666667</c:v>
                </c:pt>
                <c:pt idx="90">
                  <c:v>1.8970666666666667</c:v>
                </c:pt>
                <c:pt idx="91">
                  <c:v>2.0101041666666672</c:v>
                </c:pt>
                <c:pt idx="92">
                  <c:v>0.80331481481481481</c:v>
                </c:pt>
                <c:pt idx="93">
                  <c:v>1.0938125000000001</c:v>
                </c:pt>
                <c:pt idx="94">
                  <c:v>0.85075396825396821</c:v>
                </c:pt>
                <c:pt idx="95">
                  <c:v>1.3796522566612301</c:v>
                </c:pt>
                <c:pt idx="96">
                  <c:v>8.1136363636363704</c:v>
                </c:pt>
                <c:pt idx="97">
                  <c:v>1.1662916666666667</c:v>
                </c:pt>
                <c:pt idx="98">
                  <c:v>2.5056547619047618</c:v>
                </c:pt>
                <c:pt idx="99">
                  <c:v>2.0907708333333335</c:v>
                </c:pt>
                <c:pt idx="100">
                  <c:v>11.526388888888889</c:v>
                </c:pt>
                <c:pt idx="101">
                  <c:v>1.2456666666666658</c:v>
                </c:pt>
                <c:pt idx="102">
                  <c:v>3.8536174074074072</c:v>
                </c:pt>
                <c:pt idx="103">
                  <c:v>84.694464285714375</c:v>
                </c:pt>
                <c:pt idx="104">
                  <c:v>7.4328501254480335</c:v>
                </c:pt>
                <c:pt idx="105">
                  <c:v>0.85027083333333431</c:v>
                </c:pt>
                <c:pt idx="106">
                  <c:v>0.67553850574712648</c:v>
                </c:pt>
                <c:pt idx="107" formatCode="General">
                  <c:v>0</c:v>
                </c:pt>
                <c:pt idx="108">
                  <c:v>1.2833611111111112</c:v>
                </c:pt>
                <c:pt idx="109">
                  <c:v>1.6240000000000001</c:v>
                </c:pt>
                <c:pt idx="110">
                  <c:v>1.0167222222222219</c:v>
                </c:pt>
                <c:pt idx="111">
                  <c:v>0.9028333333333336</c:v>
                </c:pt>
                <c:pt idx="112">
                  <c:v>4.2638333333333334</c:v>
                </c:pt>
                <c:pt idx="113">
                  <c:v>3.5541458333333327</c:v>
                </c:pt>
                <c:pt idx="114">
                  <c:v>1.078333333333334</c:v>
                </c:pt>
                <c:pt idx="115">
                  <c:v>0.76586111111111177</c:v>
                </c:pt>
                <c:pt idx="116">
                  <c:v>1.6499848484848478</c:v>
                </c:pt>
                <c:pt idx="117">
                  <c:v>0.9998461538461535</c:v>
                </c:pt>
                <c:pt idx="118">
                  <c:v>0.36963888888888924</c:v>
                </c:pt>
                <c:pt idx="119">
                  <c:v>1.0175291666666666</c:v>
                </c:pt>
                <c:pt idx="120">
                  <c:v>10.984650000000002</c:v>
                </c:pt>
                <c:pt idx="121">
                  <c:v>1.013452380952381</c:v>
                </c:pt>
                <c:pt idx="122">
                  <c:v>0.88330000000000009</c:v>
                </c:pt>
                <c:pt idx="123">
                  <c:v>1.5675260416666668</c:v>
                </c:pt>
                <c:pt idx="124">
                  <c:v>0.61848814814814823</c:v>
                </c:pt>
                <c:pt idx="125">
                  <c:v>2.3383083333333312</c:v>
                </c:pt>
                <c:pt idx="126">
                  <c:v>0.1280625</c:v>
                </c:pt>
                <c:pt idx="127">
                  <c:v>1.2353416666666668</c:v>
                </c:pt>
                <c:pt idx="128">
                  <c:v>0.95624444444444501</c:v>
                </c:pt>
                <c:pt idx="129" formatCode="General">
                  <c:v>0</c:v>
                </c:pt>
                <c:pt idx="130">
                  <c:v>1.4945408496732036</c:v>
                </c:pt>
                <c:pt idx="131">
                  <c:v>1.1757500000000001</c:v>
                </c:pt>
                <c:pt idx="132">
                  <c:v>0.53104166666666663</c:v>
                </c:pt>
                <c:pt idx="133">
                  <c:v>0.52175000000000005</c:v>
                </c:pt>
                <c:pt idx="134">
                  <c:v>1.806125</c:v>
                </c:pt>
                <c:pt idx="135">
                  <c:v>1.0278333333333334</c:v>
                </c:pt>
                <c:pt idx="136">
                  <c:v>0.80024166666666663</c:v>
                </c:pt>
                <c:pt idx="137">
                  <c:v>0.98575000000000002</c:v>
                </c:pt>
                <c:pt idx="138">
                  <c:v>1.1798690476190465</c:v>
                </c:pt>
                <c:pt idx="139">
                  <c:v>0.31734523809523812</c:v>
                </c:pt>
                <c:pt idx="140">
                  <c:v>1.0396805555555555</c:v>
                </c:pt>
                <c:pt idx="141" formatCode="General">
                  <c:v>0</c:v>
                </c:pt>
                <c:pt idx="142">
                  <c:v>0.47583333333333333</c:v>
                </c:pt>
                <c:pt idx="143">
                  <c:v>0.9163250287356316</c:v>
                </c:pt>
                <c:pt idx="144">
                  <c:v>2.7738194444444448</c:v>
                </c:pt>
                <c:pt idx="145">
                  <c:v>3.2920555555555553</c:v>
                </c:pt>
                <c:pt idx="146">
                  <c:v>10.050722098765441</c:v>
                </c:pt>
                <c:pt idx="147">
                  <c:v>0.46563305555555534</c:v>
                </c:pt>
                <c:pt idx="148">
                  <c:v>0.16866287878787878</c:v>
                </c:pt>
                <c:pt idx="149">
                  <c:v>3.5295131578947387</c:v>
                </c:pt>
                <c:pt idx="150">
                  <c:v>0.62980303030303131</c:v>
                </c:pt>
                <c:pt idx="151">
                  <c:v>1.5718657407407408</c:v>
                </c:pt>
                <c:pt idx="152">
                  <c:v>0.94402057692307773</c:v>
                </c:pt>
                <c:pt idx="153">
                  <c:v>0.87923484848484912</c:v>
                </c:pt>
                <c:pt idx="154">
                  <c:v>1.0194318181818178</c:v>
                </c:pt>
                <c:pt idx="155">
                  <c:v>2.0562786960514212</c:v>
                </c:pt>
                <c:pt idx="156">
                  <c:v>1.0284635185185185</c:v>
                </c:pt>
                <c:pt idx="157">
                  <c:v>1.1812810185185185</c:v>
                </c:pt>
                <c:pt idx="158">
                  <c:v>0.14500000000000013</c:v>
                </c:pt>
                <c:pt idx="159">
                  <c:v>1.6757564102564102</c:v>
                </c:pt>
                <c:pt idx="160" formatCode="General">
                  <c:v>0</c:v>
                </c:pt>
                <c:pt idx="161">
                  <c:v>2.0538611111111109</c:v>
                </c:pt>
                <c:pt idx="162">
                  <c:v>0.90509722222222222</c:v>
                </c:pt>
                <c:pt idx="163">
                  <c:v>1.9410477777777781</c:v>
                </c:pt>
                <c:pt idx="164">
                  <c:v>1.2476754385964912</c:v>
                </c:pt>
                <c:pt idx="165">
                  <c:v>2.4490833333333333</c:v>
                </c:pt>
                <c:pt idx="166">
                  <c:v>1.4025079365079365</c:v>
                </c:pt>
                <c:pt idx="167">
                  <c:v>1.0218333333333334</c:v>
                </c:pt>
              </c:numCache>
            </c:numRef>
          </c:xVal>
          <c:yVal>
            <c:numRef>
              <c:f>'Indicadores Sociales'!$G$79:$G$246</c:f>
              <c:numCache>
                <c:formatCode>General</c:formatCode>
                <c:ptCount val="168"/>
                <c:pt idx="0">
                  <c:v>4</c:v>
                </c:pt>
                <c:pt idx="1">
                  <c:v>11</c:v>
                </c:pt>
                <c:pt idx="2">
                  <c:v>2</c:v>
                </c:pt>
                <c:pt idx="3">
                  <c:v>2</c:v>
                </c:pt>
                <c:pt idx="4">
                  <c:v>6</c:v>
                </c:pt>
                <c:pt idx="5">
                  <c:v>3</c:v>
                </c:pt>
                <c:pt idx="6">
                  <c:v>5</c:v>
                </c:pt>
                <c:pt idx="7">
                  <c:v>8</c:v>
                </c:pt>
                <c:pt idx="8">
                  <c:v>9</c:v>
                </c:pt>
                <c:pt idx="9">
                  <c:v>2</c:v>
                </c:pt>
                <c:pt idx="10">
                  <c:v>6</c:v>
                </c:pt>
                <c:pt idx="11">
                  <c:v>22</c:v>
                </c:pt>
                <c:pt idx="12">
                  <c:v>8</c:v>
                </c:pt>
                <c:pt idx="13">
                  <c:v>1</c:v>
                </c:pt>
                <c:pt idx="14">
                  <c:v>13</c:v>
                </c:pt>
                <c:pt idx="15">
                  <c:v>17</c:v>
                </c:pt>
                <c:pt idx="16">
                  <c:v>13</c:v>
                </c:pt>
                <c:pt idx="17">
                  <c:v>19</c:v>
                </c:pt>
                <c:pt idx="18">
                  <c:v>3</c:v>
                </c:pt>
                <c:pt idx="19">
                  <c:v>14</c:v>
                </c:pt>
                <c:pt idx="20">
                  <c:v>16</c:v>
                </c:pt>
                <c:pt idx="21">
                  <c:v>21</c:v>
                </c:pt>
                <c:pt idx="22">
                  <c:v>11</c:v>
                </c:pt>
                <c:pt idx="23">
                  <c:v>32</c:v>
                </c:pt>
                <c:pt idx="24">
                  <c:v>19</c:v>
                </c:pt>
                <c:pt idx="25">
                  <c:v>28</c:v>
                </c:pt>
                <c:pt idx="26">
                  <c:v>13</c:v>
                </c:pt>
                <c:pt idx="27">
                  <c:v>20</c:v>
                </c:pt>
                <c:pt idx="28">
                  <c:v>5</c:v>
                </c:pt>
                <c:pt idx="29">
                  <c:v>6</c:v>
                </c:pt>
                <c:pt idx="30">
                  <c:v>7</c:v>
                </c:pt>
                <c:pt idx="31">
                  <c:v>11</c:v>
                </c:pt>
                <c:pt idx="32">
                  <c:v>12</c:v>
                </c:pt>
                <c:pt idx="33">
                  <c:v>7</c:v>
                </c:pt>
                <c:pt idx="34">
                  <c:v>12</c:v>
                </c:pt>
                <c:pt idx="35">
                  <c:v>5</c:v>
                </c:pt>
                <c:pt idx="36">
                  <c:v>7</c:v>
                </c:pt>
                <c:pt idx="37">
                  <c:v>11</c:v>
                </c:pt>
                <c:pt idx="38">
                  <c:v>15</c:v>
                </c:pt>
                <c:pt idx="39">
                  <c:v>15</c:v>
                </c:pt>
                <c:pt idx="40">
                  <c:v>21</c:v>
                </c:pt>
                <c:pt idx="41">
                  <c:v>2</c:v>
                </c:pt>
                <c:pt idx="42">
                  <c:v>16</c:v>
                </c:pt>
                <c:pt idx="43">
                  <c:v>29</c:v>
                </c:pt>
                <c:pt idx="44">
                  <c:v>24</c:v>
                </c:pt>
                <c:pt idx="45">
                  <c:v>14</c:v>
                </c:pt>
                <c:pt idx="46">
                  <c:v>2</c:v>
                </c:pt>
                <c:pt idx="47">
                  <c:v>2</c:v>
                </c:pt>
                <c:pt idx="48">
                  <c:v>3</c:v>
                </c:pt>
                <c:pt idx="49">
                  <c:v>12</c:v>
                </c:pt>
                <c:pt idx="50">
                  <c:v>2</c:v>
                </c:pt>
                <c:pt idx="51">
                  <c:v>3</c:v>
                </c:pt>
                <c:pt idx="52">
                  <c:v>6</c:v>
                </c:pt>
                <c:pt idx="53">
                  <c:v>10</c:v>
                </c:pt>
                <c:pt idx="54">
                  <c:v>12</c:v>
                </c:pt>
                <c:pt idx="55">
                  <c:v>28</c:v>
                </c:pt>
                <c:pt idx="56">
                  <c:v>14</c:v>
                </c:pt>
                <c:pt idx="57">
                  <c:v>10</c:v>
                </c:pt>
                <c:pt idx="58">
                  <c:v>20</c:v>
                </c:pt>
                <c:pt idx="59">
                  <c:v>11</c:v>
                </c:pt>
                <c:pt idx="60">
                  <c:v>10</c:v>
                </c:pt>
                <c:pt idx="61">
                  <c:v>9</c:v>
                </c:pt>
                <c:pt idx="62">
                  <c:v>3</c:v>
                </c:pt>
                <c:pt idx="63">
                  <c:v>3</c:v>
                </c:pt>
                <c:pt idx="64">
                  <c:v>11</c:v>
                </c:pt>
                <c:pt idx="65">
                  <c:v>10</c:v>
                </c:pt>
                <c:pt idx="66">
                  <c:v>18</c:v>
                </c:pt>
                <c:pt idx="67">
                  <c:v>4</c:v>
                </c:pt>
                <c:pt idx="68">
                  <c:v>5</c:v>
                </c:pt>
                <c:pt idx="69">
                  <c:v>9</c:v>
                </c:pt>
                <c:pt idx="70">
                  <c:v>5</c:v>
                </c:pt>
                <c:pt idx="71">
                  <c:v>2</c:v>
                </c:pt>
                <c:pt idx="72">
                  <c:v>3</c:v>
                </c:pt>
                <c:pt idx="73">
                  <c:v>9</c:v>
                </c:pt>
                <c:pt idx="74">
                  <c:v>4</c:v>
                </c:pt>
                <c:pt idx="75">
                  <c:v>2</c:v>
                </c:pt>
                <c:pt idx="76">
                  <c:v>8</c:v>
                </c:pt>
                <c:pt idx="77">
                  <c:v>4</c:v>
                </c:pt>
                <c:pt idx="78">
                  <c:v>13</c:v>
                </c:pt>
                <c:pt idx="79">
                  <c:v>4</c:v>
                </c:pt>
                <c:pt idx="80">
                  <c:v>13</c:v>
                </c:pt>
                <c:pt idx="81">
                  <c:v>4</c:v>
                </c:pt>
                <c:pt idx="82">
                  <c:v>9</c:v>
                </c:pt>
                <c:pt idx="83">
                  <c:v>17</c:v>
                </c:pt>
                <c:pt idx="84">
                  <c:v>5</c:v>
                </c:pt>
                <c:pt idx="85">
                  <c:v>27</c:v>
                </c:pt>
                <c:pt idx="86">
                  <c:v>15</c:v>
                </c:pt>
                <c:pt idx="87">
                  <c:v>8</c:v>
                </c:pt>
                <c:pt idx="88">
                  <c:v>7</c:v>
                </c:pt>
                <c:pt idx="89">
                  <c:v>13</c:v>
                </c:pt>
                <c:pt idx="90">
                  <c:v>19</c:v>
                </c:pt>
                <c:pt idx="91">
                  <c:v>4</c:v>
                </c:pt>
                <c:pt idx="92">
                  <c:v>3</c:v>
                </c:pt>
                <c:pt idx="93">
                  <c:v>3</c:v>
                </c:pt>
                <c:pt idx="94">
                  <c:v>8</c:v>
                </c:pt>
                <c:pt idx="95">
                  <c:v>13</c:v>
                </c:pt>
                <c:pt idx="96">
                  <c:v>9</c:v>
                </c:pt>
                <c:pt idx="97">
                  <c:v>5</c:v>
                </c:pt>
                <c:pt idx="98">
                  <c:v>8</c:v>
                </c:pt>
                <c:pt idx="99">
                  <c:v>7</c:v>
                </c:pt>
                <c:pt idx="100">
                  <c:v>9</c:v>
                </c:pt>
                <c:pt idx="101">
                  <c:v>4</c:v>
                </c:pt>
                <c:pt idx="102">
                  <c:v>10</c:v>
                </c:pt>
                <c:pt idx="103">
                  <c:v>5</c:v>
                </c:pt>
                <c:pt idx="104">
                  <c:v>12</c:v>
                </c:pt>
                <c:pt idx="105">
                  <c:v>5</c:v>
                </c:pt>
                <c:pt idx="106">
                  <c:v>5</c:v>
                </c:pt>
                <c:pt idx="107">
                  <c:v>1</c:v>
                </c:pt>
                <c:pt idx="108">
                  <c:v>29</c:v>
                </c:pt>
                <c:pt idx="109">
                  <c:v>15</c:v>
                </c:pt>
                <c:pt idx="110">
                  <c:v>9</c:v>
                </c:pt>
                <c:pt idx="111">
                  <c:v>4</c:v>
                </c:pt>
                <c:pt idx="112">
                  <c:v>17</c:v>
                </c:pt>
                <c:pt idx="113">
                  <c:v>19</c:v>
                </c:pt>
                <c:pt idx="114">
                  <c:v>9</c:v>
                </c:pt>
                <c:pt idx="115">
                  <c:v>14</c:v>
                </c:pt>
                <c:pt idx="116">
                  <c:v>15</c:v>
                </c:pt>
                <c:pt idx="117">
                  <c:v>11</c:v>
                </c:pt>
                <c:pt idx="118">
                  <c:v>3</c:v>
                </c:pt>
                <c:pt idx="119">
                  <c:v>8</c:v>
                </c:pt>
                <c:pt idx="120">
                  <c:v>7</c:v>
                </c:pt>
                <c:pt idx="121">
                  <c:v>12</c:v>
                </c:pt>
                <c:pt idx="122">
                  <c:v>13</c:v>
                </c:pt>
                <c:pt idx="123">
                  <c:v>21</c:v>
                </c:pt>
                <c:pt idx="124">
                  <c:v>3</c:v>
                </c:pt>
                <c:pt idx="125">
                  <c:v>7</c:v>
                </c:pt>
                <c:pt idx="126">
                  <c:v>10</c:v>
                </c:pt>
                <c:pt idx="127">
                  <c:v>14</c:v>
                </c:pt>
                <c:pt idx="128">
                  <c:v>7</c:v>
                </c:pt>
                <c:pt idx="129">
                  <c:v>2</c:v>
                </c:pt>
                <c:pt idx="130">
                  <c:v>21</c:v>
                </c:pt>
                <c:pt idx="131">
                  <c:v>3</c:v>
                </c:pt>
                <c:pt idx="132">
                  <c:v>7</c:v>
                </c:pt>
                <c:pt idx="133">
                  <c:v>5</c:v>
                </c:pt>
                <c:pt idx="134">
                  <c:v>7</c:v>
                </c:pt>
                <c:pt idx="135">
                  <c:v>20</c:v>
                </c:pt>
                <c:pt idx="136">
                  <c:v>13</c:v>
                </c:pt>
                <c:pt idx="137">
                  <c:v>25</c:v>
                </c:pt>
                <c:pt idx="138">
                  <c:v>20</c:v>
                </c:pt>
                <c:pt idx="139">
                  <c:v>7</c:v>
                </c:pt>
                <c:pt idx="140">
                  <c:v>13</c:v>
                </c:pt>
                <c:pt idx="141">
                  <c:v>3</c:v>
                </c:pt>
                <c:pt idx="142">
                  <c:v>3</c:v>
                </c:pt>
                <c:pt idx="143">
                  <c:v>7</c:v>
                </c:pt>
                <c:pt idx="144">
                  <c:v>16</c:v>
                </c:pt>
                <c:pt idx="145">
                  <c:v>2</c:v>
                </c:pt>
                <c:pt idx="146">
                  <c:v>8</c:v>
                </c:pt>
                <c:pt idx="147">
                  <c:v>16</c:v>
                </c:pt>
                <c:pt idx="148">
                  <c:v>3</c:v>
                </c:pt>
                <c:pt idx="149">
                  <c:v>3</c:v>
                </c:pt>
                <c:pt idx="150">
                  <c:v>5</c:v>
                </c:pt>
                <c:pt idx="151">
                  <c:v>10</c:v>
                </c:pt>
                <c:pt idx="152">
                  <c:v>13</c:v>
                </c:pt>
                <c:pt idx="153">
                  <c:v>16</c:v>
                </c:pt>
                <c:pt idx="154">
                  <c:v>12</c:v>
                </c:pt>
                <c:pt idx="155">
                  <c:v>17</c:v>
                </c:pt>
                <c:pt idx="156">
                  <c:v>6</c:v>
                </c:pt>
                <c:pt idx="157">
                  <c:v>13</c:v>
                </c:pt>
                <c:pt idx="158">
                  <c:v>3</c:v>
                </c:pt>
                <c:pt idx="159">
                  <c:v>24</c:v>
                </c:pt>
                <c:pt idx="160">
                  <c:v>1</c:v>
                </c:pt>
                <c:pt idx="161">
                  <c:v>28</c:v>
                </c:pt>
                <c:pt idx="162">
                  <c:v>25</c:v>
                </c:pt>
                <c:pt idx="163">
                  <c:v>29</c:v>
                </c:pt>
                <c:pt idx="164">
                  <c:v>10</c:v>
                </c:pt>
                <c:pt idx="165">
                  <c:v>20</c:v>
                </c:pt>
                <c:pt idx="166">
                  <c:v>6</c:v>
                </c:pt>
                <c:pt idx="167">
                  <c:v>7</c:v>
                </c:pt>
              </c:numCache>
            </c:numRef>
          </c:yVal>
        </c:ser>
        <c:dLbls/>
        <c:axId val="132742528"/>
        <c:axId val="132761088"/>
      </c:scatterChart>
      <c:valAx>
        <c:axId val="132742528"/>
        <c:scaling>
          <c:orientation val="minMax"/>
          <c:max val="8"/>
          <c:min val="0"/>
        </c:scaling>
        <c:axPos val="b"/>
        <c:title>
          <c:tx>
            <c:rich>
              <a:bodyPr rot="0" vert="horz"/>
              <a:lstStyle/>
              <a:p>
                <a:pPr>
                  <a:defRPr>
                    <a:solidFill>
                      <a:srgbClr val="000000"/>
                    </a:solidFill>
                  </a:defRPr>
                </a:pPr>
                <a:r>
                  <a:rPr lang="es-ES"/>
                  <a:t>Ratio de equidad salariall</a:t>
                </a:r>
                <a:r>
                  <a:rPr lang="es-ES" baseline="0"/>
                  <a:t> 2012</a:t>
                </a:r>
                <a:endParaRPr lang="es-ES"/>
              </a:p>
            </c:rich>
          </c:tx>
        </c:title>
        <c:numFmt formatCode="0.00" sourceLinked="1"/>
        <c:tickLblPos val="low"/>
        <c:spPr>
          <a:ln w="3175">
            <a:solidFill>
              <a:srgbClr val="000000"/>
            </a:solidFill>
            <a:prstDash val="solid"/>
          </a:ln>
        </c:spPr>
        <c:txPr>
          <a:bodyPr/>
          <a:lstStyle/>
          <a:p>
            <a:pPr>
              <a:defRPr>
                <a:solidFill>
                  <a:srgbClr val="000000"/>
                </a:solidFill>
              </a:defRPr>
            </a:pPr>
            <a:endParaRPr lang="es-ES"/>
          </a:p>
        </c:txPr>
        <c:crossAx val="132761088"/>
        <c:crosses val="autoZero"/>
        <c:crossBetween val="midCat"/>
      </c:valAx>
      <c:valAx>
        <c:axId val="132761088"/>
        <c:scaling>
          <c:orientation val="minMax"/>
        </c:scaling>
        <c:axPos val="l"/>
        <c:title>
          <c:tx>
            <c:rich>
              <a:bodyPr rot="-5400000" vert="horz"/>
              <a:lstStyle/>
              <a:p>
                <a:pPr>
                  <a:defRPr sz="900">
                    <a:solidFill>
                      <a:srgbClr val="000000"/>
                    </a:solidFill>
                  </a:defRPr>
                </a:pPr>
                <a:r>
                  <a:rPr lang="es-ES" sz="900"/>
                  <a:t>Añós</a:t>
                </a:r>
                <a:r>
                  <a:rPr lang="es-ES" sz="900" baseline="0"/>
                  <a:t> de actividad hasta 2013</a:t>
                </a:r>
                <a:endParaRPr lang="es-ES" sz="900"/>
              </a:p>
            </c:rich>
          </c:tx>
          <c:layout>
            <c:manualLayout>
              <c:xMode val="edge"/>
              <c:yMode val="edge"/>
              <c:x val="1.8415043010134684E-2"/>
              <c:y val="0.27428215223097119"/>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32742528"/>
        <c:crosses val="autoZero"/>
        <c:crossBetween val="midCat"/>
      </c:valAx>
      <c:spPr>
        <a:noFill/>
        <a:ln w="25400">
          <a:noFill/>
        </a:ln>
      </c:spPr>
    </c:plotArea>
    <c:plotVisOnly val="1"/>
    <c:dispBlanksAs val="gap"/>
  </c:chart>
  <c:spPr>
    <a:solidFill>
      <a:schemeClr val="bg1"/>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Equidad salarial por estructura de la</a:t>
            </a:r>
            <a:r>
              <a:rPr lang="es-ES" baseline="0"/>
              <a:t> propiedad, 2012.</a:t>
            </a:r>
          </a:p>
          <a:p>
            <a:pPr algn="l">
              <a:defRPr sz="900" b="1">
                <a:solidFill>
                  <a:srgbClr val="00338D"/>
                </a:solidFill>
                <a:latin typeface="Arial"/>
                <a:ea typeface="Arial"/>
                <a:cs typeface="Arial"/>
              </a:defRPr>
            </a:pPr>
            <a:r>
              <a:rPr lang="es-ES" baseline="0"/>
              <a:t>Tomando salario medio = 20.000€</a:t>
            </a:r>
            <a:endParaRPr lang="es-ES"/>
          </a:p>
        </c:rich>
      </c:tx>
      <c:layout>
        <c:manualLayout>
          <c:xMode val="edge"/>
          <c:yMode val="edge"/>
          <c:x val="0.18571428571428578"/>
          <c:y val="4.6464646464646465E-2"/>
        </c:manualLayout>
      </c:layout>
    </c:title>
    <c:plotArea>
      <c:layout>
        <c:manualLayout>
          <c:layoutTarget val="inner"/>
          <c:xMode val="edge"/>
          <c:yMode val="edge"/>
          <c:x val="0.12430213723284589"/>
          <c:y val="0.1527158196134574"/>
          <c:w val="0.81569786276715461"/>
          <c:h val="0.71309472679551711"/>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1200"/>
                </a:pPr>
                <a:endParaRPr lang="es-ES"/>
              </a:p>
            </c:txPr>
            <c:dLblPos val="ctr"/>
            <c:showVal val="1"/>
            <c:extLst>
              <c:ext xmlns:c15="http://schemas.microsoft.com/office/drawing/2012/chart" uri="{CE6537A1-D6FC-4f65-9D91-7224C49458BB}">
                <c15:showLeaderLines val="0"/>
              </c:ext>
            </c:extLst>
          </c:dLbls>
          <c:cat>
            <c:strRef>
              <c:f>'Indicadores Sociales'!$M$251:$M$253</c:f>
              <c:strCache>
                <c:ptCount val="3"/>
                <c:pt idx="0">
                  <c:v>Todos los CEEs</c:v>
                </c:pt>
                <c:pt idx="1">
                  <c:v>Iniciativa Social</c:v>
                </c:pt>
                <c:pt idx="2">
                  <c:v>Iniciativa Empresarial</c:v>
                </c:pt>
              </c:strCache>
            </c:strRef>
          </c:cat>
          <c:val>
            <c:numRef>
              <c:f>'Indicadores Sociales'!$N$251:$N$253</c:f>
              <c:numCache>
                <c:formatCode>0.00</c:formatCode>
                <c:ptCount val="3"/>
                <c:pt idx="0" formatCode="General">
                  <c:v>0.85000000000000009</c:v>
                </c:pt>
                <c:pt idx="1">
                  <c:v>0.68223730718636855</c:v>
                </c:pt>
                <c:pt idx="2">
                  <c:v>0.91958870024301653</c:v>
                </c:pt>
              </c:numCache>
            </c:numRef>
          </c:val>
        </c:ser>
        <c:dLbls/>
        <c:gapWidth val="40"/>
        <c:axId val="132831488"/>
        <c:axId val="132845568"/>
      </c:barChart>
      <c:catAx>
        <c:axId val="132831488"/>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32845568"/>
        <c:crosses val="autoZero"/>
        <c:auto val="1"/>
        <c:lblAlgn val="ctr"/>
        <c:lblOffset val="100"/>
      </c:catAx>
      <c:valAx>
        <c:axId val="132845568"/>
        <c:scaling>
          <c:orientation val="minMax"/>
        </c:scaling>
        <c:axPos val="l"/>
        <c:title>
          <c:tx>
            <c:rich>
              <a:bodyPr rot="-5400000" vert="horz"/>
              <a:lstStyle/>
              <a:p>
                <a:pPr>
                  <a:defRPr>
                    <a:solidFill>
                      <a:srgbClr val="000000"/>
                    </a:solidFill>
                  </a:defRPr>
                </a:pPr>
                <a:r>
                  <a:rPr lang="en-US"/>
                  <a:t>Ratio</a:t>
                </a:r>
                <a:r>
                  <a:rPr lang="en-US" baseline="0"/>
                  <a:t> Medio de Equidad Salarial</a:t>
                </a:r>
              </a:p>
            </c:rich>
          </c:tx>
          <c:layout>
            <c:manualLayout>
              <c:xMode val="edge"/>
              <c:yMode val="edge"/>
              <c:x val="2.5714285714285714E-2"/>
              <c:y val="0.20193378668575523"/>
            </c:manualLayout>
          </c:layout>
        </c:title>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32831488"/>
        <c:crosses val="autoZero"/>
        <c:crossBetween val="between"/>
      </c:valAx>
      <c:spPr>
        <a:noFill/>
        <a:ln w="25400">
          <a:noFill/>
        </a:ln>
      </c:spPr>
    </c:plotArea>
    <c:plotVisOnly val="1"/>
    <c:dispBlanksAs val="gap"/>
  </c:chart>
  <c:spPr>
    <a:solidFill>
      <a:sysClr val="window" lastClr="FFFFFF"/>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1200" b="1">
                <a:solidFill>
                  <a:srgbClr val="00338D"/>
                </a:solidFill>
                <a:latin typeface="Arial"/>
                <a:ea typeface="Arial"/>
                <a:cs typeface="Arial"/>
              </a:defRPr>
            </a:pPr>
            <a:r>
              <a:rPr lang="en-US" sz="1200"/>
              <a:t>Evaluación Global</a:t>
            </a:r>
          </a:p>
          <a:p>
            <a:pPr algn="ctr">
              <a:defRPr sz="1200" b="1">
                <a:solidFill>
                  <a:srgbClr val="00338D"/>
                </a:solidFill>
                <a:latin typeface="Arial"/>
                <a:ea typeface="Arial"/>
                <a:cs typeface="Arial"/>
              </a:defRPr>
            </a:pPr>
            <a:r>
              <a:rPr lang="en-US" sz="1200"/>
              <a:t>Todos los</a:t>
            </a:r>
            <a:r>
              <a:rPr lang="en-US" sz="1200" baseline="0"/>
              <a:t> CEEs</a:t>
            </a:r>
            <a:endParaRPr lang="en-US" sz="1200"/>
          </a:p>
        </c:rich>
      </c:tx>
      <c:layout>
        <c:manualLayout>
          <c:xMode val="edge"/>
          <c:yMode val="edge"/>
          <c:x val="0.28860426929392652"/>
          <c:y val="2.1698821511852848E-2"/>
        </c:manualLayout>
      </c:layout>
    </c:title>
    <c:plotArea>
      <c:layout>
        <c:manualLayout>
          <c:layoutTarget val="inner"/>
          <c:xMode val="edge"/>
          <c:yMode val="edge"/>
          <c:x val="0.30230040210491227"/>
          <c:y val="0.23187250996015829"/>
          <c:w val="0.33142857142857507"/>
          <c:h val="0.52727272727272656"/>
        </c:manualLayout>
      </c:layout>
      <c:pie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Lbls>
            <c:dLbl>
              <c:idx val="0"/>
              <c:layout>
                <c:manualLayout>
                  <c:x val="-0.10946193717334718"/>
                  <c:y val="-0.1580996683728485"/>
                </c:manualLayout>
              </c:layout>
              <c:showPercent val="1"/>
              <c:extLst>
                <c:ext xmlns:c15="http://schemas.microsoft.com/office/drawing/2012/chart" uri="{CE6537A1-D6FC-4f65-9D91-7224C49458BB}"/>
              </c:extLst>
            </c:dLbl>
            <c:dLbl>
              <c:idx val="1"/>
              <c:layout>
                <c:manualLayout>
                  <c:x val="9.3577042140829583E-2"/>
                  <c:y val="0.14291551053564722"/>
                </c:manualLayout>
              </c:layout>
              <c:showPercent val="1"/>
              <c:extLst>
                <c:ext xmlns:c15="http://schemas.microsoft.com/office/drawing/2012/chart" uri="{CE6537A1-D6FC-4f65-9D91-7224C49458BB}"/>
              </c:extLst>
            </c:dLbl>
            <c:spPr>
              <a:noFill/>
              <a:ln>
                <a:noFill/>
              </a:ln>
              <a:effectLst/>
            </c:spPr>
            <c:txPr>
              <a:bodyPr/>
              <a:lstStyle/>
              <a:p>
                <a:pPr>
                  <a:defRPr sz="1100"/>
                </a:pPr>
                <a:endParaRPr lang="es-ES"/>
              </a:p>
            </c:txPr>
            <c:showPercent val="1"/>
            <c:showLeaderLines val="1"/>
            <c:leaderLines>
              <c:spPr>
                <a:ln>
                  <a:solidFill>
                    <a:srgbClr val="000000"/>
                  </a:solidFill>
                  <a:prstDash val="solid"/>
                </a:ln>
              </c:spPr>
            </c:leaderLines>
            <c:extLst>
              <c:ext xmlns:c15="http://schemas.microsoft.com/office/drawing/2012/chart" uri="{CE6537A1-D6FC-4f65-9D91-7224C49458BB}"/>
            </c:extLst>
          </c:dLbls>
          <c:cat>
            <c:strRef>
              <c:f>'Puntuaciones tras cambios'!$A$695:$A$696</c:f>
              <c:strCache>
                <c:ptCount val="2"/>
                <c:pt idx="0">
                  <c:v>Resultado superior a 50 puntos sobre 100</c:v>
                </c:pt>
                <c:pt idx="1">
                  <c:v>Resultado inferior a 50 puntos sobre 100</c:v>
                </c:pt>
              </c:strCache>
            </c:strRef>
          </c:cat>
          <c:val>
            <c:numRef>
              <c:f>'Puntuaciones tras cambios'!$E$695:$E$696</c:f>
              <c:numCache>
                <c:formatCode>0%</c:formatCode>
                <c:ptCount val="2"/>
                <c:pt idx="0">
                  <c:v>0.77241379310344838</c:v>
                </c:pt>
                <c:pt idx="1">
                  <c:v>0.22758620689655173</c:v>
                </c:pt>
              </c:numCache>
            </c:numRef>
          </c:val>
        </c:ser>
        <c:dLbls/>
        <c:firstSliceAng val="0"/>
      </c:pieChart>
      <c:spPr>
        <a:noFill/>
        <a:ln w="25400">
          <a:noFill/>
        </a:ln>
      </c:spPr>
    </c:plotArea>
    <c:legend>
      <c:legendPos val="r"/>
      <c:layout>
        <c:manualLayout>
          <c:xMode val="edge"/>
          <c:yMode val="edge"/>
          <c:x val="0.17001300071135972"/>
          <c:y val="0.80383035702959016"/>
          <c:w val="0.58811808570657631"/>
          <c:h val="0.12431753091971524"/>
        </c:manualLayout>
      </c:layout>
      <c:spPr>
        <a:noFill/>
        <a:ln w="25400">
          <a:noFill/>
        </a:ln>
      </c:spPr>
      <c:txPr>
        <a:bodyPr/>
        <a:lstStyle/>
        <a:p>
          <a:pPr rtl="0">
            <a:defRPr sz="800">
              <a:solidFill>
                <a:srgbClr val="000000"/>
              </a:solidFill>
            </a:defRPr>
          </a:pPr>
          <a:endParaRPr lang="es-ES"/>
        </a:p>
      </c:txPr>
    </c:legend>
    <c:plotVisOnly val="1"/>
    <c:dispBlanksAs val="zero"/>
  </c:chart>
  <c:spPr>
    <a:solidFill>
      <a:sysClr val="window" lastClr="FFFFFF"/>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sz="900"/>
              <a:t>Correlación entre equidad salarial de los CEEs</a:t>
            </a:r>
            <a:r>
              <a:rPr lang="es-ES" sz="900" baseline="0"/>
              <a:t> y</a:t>
            </a:r>
            <a:r>
              <a:rPr lang="es-ES" sz="900"/>
              <a:t> años de antigüedad. Tomando salario medio = 20.000 €</a:t>
            </a:r>
          </a:p>
        </c:rich>
      </c:tx>
      <c:layout>
        <c:manualLayout>
          <c:xMode val="edge"/>
          <c:yMode val="edge"/>
          <c:x val="0.13205255762866597"/>
          <c:y val="3.4415605456725304E-3"/>
        </c:manualLayout>
      </c:layout>
    </c:title>
    <c:plotArea>
      <c:layout>
        <c:manualLayout>
          <c:layoutTarget val="inner"/>
          <c:xMode val="edge"/>
          <c:yMode val="edge"/>
          <c:x val="9.3541385529804316E-2"/>
          <c:y val="0.12370963715990836"/>
          <c:w val="0.82085116232351418"/>
          <c:h val="0.67546045216970618"/>
        </c:manualLayout>
      </c:layout>
      <c:scatterChart>
        <c:scatterStyle val="lineMarker"/>
        <c:ser>
          <c:idx val="0"/>
          <c:order val="0"/>
          <c:spPr>
            <a:ln w="28575">
              <a:noFill/>
            </a:ln>
          </c:spPr>
          <c:marker>
            <c:symbol val="diamond"/>
            <c:size val="5"/>
            <c:spPr>
              <a:solidFill>
                <a:srgbClr val="007C92"/>
              </a:solidFill>
              <a:ln>
                <a:solidFill>
                  <a:srgbClr val="007C92"/>
                </a:solidFill>
                <a:prstDash val="solid"/>
              </a:ln>
            </c:spPr>
          </c:marker>
          <c:trendline>
            <c:trendlineType val="linear"/>
          </c:trendline>
          <c:xVal>
            <c:numRef>
              <c:f>'[2]gráficas impacto'!$G$79:$G$247</c:f>
              <c:numCache>
                <c:formatCode>General</c:formatCode>
                <c:ptCount val="169"/>
                <c:pt idx="0">
                  <c:v>1.02925</c:v>
                </c:pt>
                <c:pt idx="1">
                  <c:v>0.39042428571428656</c:v>
                </c:pt>
                <c:pt idx="2">
                  <c:v>0.31988000000000055</c:v>
                </c:pt>
                <c:pt idx="3">
                  <c:v>3.2768624999999965</c:v>
                </c:pt>
                <c:pt idx="4">
                  <c:v>0.47089090909090947</c:v>
                </c:pt>
                <c:pt idx="5">
                  <c:v>0.41295000000000026</c:v>
                </c:pt>
                <c:pt idx="6">
                  <c:v>1.3420300000000001</c:v>
                </c:pt>
                <c:pt idx="7">
                  <c:v>0.69896000000000003</c:v>
                </c:pt>
                <c:pt idx="8">
                  <c:v>0.35393750000000002</c:v>
                </c:pt>
                <c:pt idx="9">
                  <c:v>0.60500000000000054</c:v>
                </c:pt>
                <c:pt idx="10">
                  <c:v>0.52749848484848483</c:v>
                </c:pt>
                <c:pt idx="11">
                  <c:v>0.6616354838709676</c:v>
                </c:pt>
                <c:pt idx="12">
                  <c:v>0.7611848684210526</c:v>
                </c:pt>
                <c:pt idx="13">
                  <c:v>0</c:v>
                </c:pt>
                <c:pt idx="14">
                  <c:v>0.85361666666666669</c:v>
                </c:pt>
                <c:pt idx="15">
                  <c:v>0.83614761904761903</c:v>
                </c:pt>
                <c:pt idx="16">
                  <c:v>0.50666999999999951</c:v>
                </c:pt>
                <c:pt idx="17">
                  <c:v>0.45129411764705885</c:v>
                </c:pt>
                <c:pt idx="18">
                  <c:v>0.73085000000000055</c:v>
                </c:pt>
                <c:pt idx="19">
                  <c:v>0.64453333333333362</c:v>
                </c:pt>
                <c:pt idx="20">
                  <c:v>0.51688461538461561</c:v>
                </c:pt>
                <c:pt idx="21">
                  <c:v>0.63522429149797632</c:v>
                </c:pt>
                <c:pt idx="22">
                  <c:v>0.73085000000000055</c:v>
                </c:pt>
                <c:pt idx="23">
                  <c:v>0.55236245205479462</c:v>
                </c:pt>
                <c:pt idx="24">
                  <c:v>2.7933312500000049</c:v>
                </c:pt>
                <c:pt idx="25">
                  <c:v>0.54321906779660956</c:v>
                </c:pt>
                <c:pt idx="26">
                  <c:v>4.7641666666666665E-2</c:v>
                </c:pt>
                <c:pt idx="27">
                  <c:v>0.37637800000000055</c:v>
                </c:pt>
                <c:pt idx="28">
                  <c:v>0.81148333333333322</c:v>
                </c:pt>
                <c:pt idx="29">
                  <c:v>0.63416250000000007</c:v>
                </c:pt>
                <c:pt idx="30">
                  <c:v>0.61901887500000063</c:v>
                </c:pt>
                <c:pt idx="31">
                  <c:v>0.54001904761904762</c:v>
                </c:pt>
                <c:pt idx="32">
                  <c:v>1.2647416666666664</c:v>
                </c:pt>
                <c:pt idx="33">
                  <c:v>0.70838750000000006</c:v>
                </c:pt>
                <c:pt idx="34">
                  <c:v>0.62827500000000081</c:v>
                </c:pt>
                <c:pt idx="35">
                  <c:v>0.67692500000000089</c:v>
                </c:pt>
                <c:pt idx="36">
                  <c:v>2.1639785714285735</c:v>
                </c:pt>
                <c:pt idx="37">
                  <c:v>0.62876000000000054</c:v>
                </c:pt>
                <c:pt idx="38">
                  <c:v>0.9594764705882356</c:v>
                </c:pt>
                <c:pt idx="39">
                  <c:v>69.953149999999994</c:v>
                </c:pt>
                <c:pt idx="40">
                  <c:v>0.60309859154929635</c:v>
                </c:pt>
                <c:pt idx="41">
                  <c:v>0.31100000000000028</c:v>
                </c:pt>
                <c:pt idx="42">
                  <c:v>16.280935964912281</c:v>
                </c:pt>
                <c:pt idx="43">
                  <c:v>0.58425454545454547</c:v>
                </c:pt>
                <c:pt idx="44">
                  <c:v>0.69795000000000051</c:v>
                </c:pt>
                <c:pt idx="45">
                  <c:v>34.785575000000037</c:v>
                </c:pt>
                <c:pt idx="46">
                  <c:v>0.51587499999999997</c:v>
                </c:pt>
                <c:pt idx="47">
                  <c:v>6.9753300000000014</c:v>
                </c:pt>
                <c:pt idx="48">
                  <c:v>7.0148749999999938</c:v>
                </c:pt>
                <c:pt idx="49">
                  <c:v>0.57099230769230769</c:v>
                </c:pt>
                <c:pt idx="50">
                  <c:v>0</c:v>
                </c:pt>
                <c:pt idx="51">
                  <c:v>0.53912499999999997</c:v>
                </c:pt>
                <c:pt idx="52">
                  <c:v>0.65474375000000085</c:v>
                </c:pt>
                <c:pt idx="53">
                  <c:v>0.38740833333333363</c:v>
                </c:pt>
                <c:pt idx="54">
                  <c:v>0.66167000000000076</c:v>
                </c:pt>
                <c:pt idx="55">
                  <c:v>1.4627253333333334</c:v>
                </c:pt>
                <c:pt idx="56">
                  <c:v>1.3513916666666659</c:v>
                </c:pt>
                <c:pt idx="57">
                  <c:v>0.79402499999999998</c:v>
                </c:pt>
                <c:pt idx="58">
                  <c:v>0.76882857142857286</c:v>
                </c:pt>
                <c:pt idx="59">
                  <c:v>1.139002777777778</c:v>
                </c:pt>
                <c:pt idx="60">
                  <c:v>0.78809999999999991</c:v>
                </c:pt>
                <c:pt idx="61">
                  <c:v>1.0451999999999988</c:v>
                </c:pt>
                <c:pt idx="62">
                  <c:v>0</c:v>
                </c:pt>
                <c:pt idx="63">
                  <c:v>0.51695909090909142</c:v>
                </c:pt>
                <c:pt idx="64">
                  <c:v>0.81390000000000051</c:v>
                </c:pt>
                <c:pt idx="65">
                  <c:v>0.44545283018867932</c:v>
                </c:pt>
                <c:pt idx="66">
                  <c:v>0.52074999999999994</c:v>
                </c:pt>
                <c:pt idx="67">
                  <c:v>0.34622714285714284</c:v>
                </c:pt>
                <c:pt idx="68">
                  <c:v>0.40807619047619043</c:v>
                </c:pt>
                <c:pt idx="69">
                  <c:v>0.95643333333333325</c:v>
                </c:pt>
                <c:pt idx="70">
                  <c:v>0.83919545454545552</c:v>
                </c:pt>
                <c:pt idx="71">
                  <c:v>0.25175909090909077</c:v>
                </c:pt>
                <c:pt idx="72">
                  <c:v>0.8343874999999995</c:v>
                </c:pt>
                <c:pt idx="73">
                  <c:v>0.71818749999999998</c:v>
                </c:pt>
                <c:pt idx="74">
                  <c:v>0.44899900000000004</c:v>
                </c:pt>
                <c:pt idx="75">
                  <c:v>0.56475000000000053</c:v>
                </c:pt>
                <c:pt idx="76">
                  <c:v>0.95607500000000056</c:v>
                </c:pt>
                <c:pt idx="77">
                  <c:v>0.93294999999999995</c:v>
                </c:pt>
                <c:pt idx="78">
                  <c:v>0.93958999999999959</c:v>
                </c:pt>
                <c:pt idx="79">
                  <c:v>4.1126851851851873E-2</c:v>
                </c:pt>
                <c:pt idx="80">
                  <c:v>28.227199999999989</c:v>
                </c:pt>
                <c:pt idx="81">
                  <c:v>0.57440000000000002</c:v>
                </c:pt>
                <c:pt idx="82">
                  <c:v>18.748419999999964</c:v>
                </c:pt>
                <c:pt idx="83">
                  <c:v>0.8332929545454546</c:v>
                </c:pt>
                <c:pt idx="84">
                  <c:v>0.99074021739130513</c:v>
                </c:pt>
                <c:pt idx="85">
                  <c:v>1.0329549999999998</c:v>
                </c:pt>
                <c:pt idx="86">
                  <c:v>1.8494722222222222</c:v>
                </c:pt>
                <c:pt idx="87">
                  <c:v>0.96500000000000052</c:v>
                </c:pt>
                <c:pt idx="88">
                  <c:v>0.72858846153846168</c:v>
                </c:pt>
                <c:pt idx="89">
                  <c:v>0.6821199999999995</c:v>
                </c:pt>
                <c:pt idx="90">
                  <c:v>1.1382399999999999</c:v>
                </c:pt>
                <c:pt idx="91">
                  <c:v>1.2060625</c:v>
                </c:pt>
                <c:pt idx="92">
                  <c:v>0.48198888888888947</c:v>
                </c:pt>
                <c:pt idx="93">
                  <c:v>0.65628750000000002</c:v>
                </c:pt>
                <c:pt idx="94">
                  <c:v>0.51045238095237977</c:v>
                </c:pt>
                <c:pt idx="95">
                  <c:v>0.82779135399673764</c:v>
                </c:pt>
                <c:pt idx="96">
                  <c:v>4.8681818181818102</c:v>
                </c:pt>
                <c:pt idx="97">
                  <c:v>0.69977500000000081</c:v>
                </c:pt>
                <c:pt idx="98">
                  <c:v>1.5033928571428554</c:v>
                </c:pt>
                <c:pt idx="99">
                  <c:v>1.2544625</c:v>
                </c:pt>
                <c:pt idx="100">
                  <c:v>6.9158333333333371</c:v>
                </c:pt>
                <c:pt idx="101">
                  <c:v>0.74739999999999995</c:v>
                </c:pt>
                <c:pt idx="102">
                  <c:v>2.3121704444444422</c:v>
                </c:pt>
                <c:pt idx="103">
                  <c:v>50.816678571428518</c:v>
                </c:pt>
                <c:pt idx="104">
                  <c:v>4.4597100752688172</c:v>
                </c:pt>
                <c:pt idx="105">
                  <c:v>0.51016249999999919</c:v>
                </c:pt>
                <c:pt idx="106">
                  <c:v>0.40532310344827588</c:v>
                </c:pt>
                <c:pt idx="107">
                  <c:v>0</c:v>
                </c:pt>
                <c:pt idx="108">
                  <c:v>0.77001666666666668</c:v>
                </c:pt>
                <c:pt idx="109">
                  <c:v>0.97440000000000004</c:v>
                </c:pt>
                <c:pt idx="110">
                  <c:v>0.61003333333333365</c:v>
                </c:pt>
                <c:pt idx="111">
                  <c:v>0.54170000000000051</c:v>
                </c:pt>
                <c:pt idx="112">
                  <c:v>2.5583</c:v>
                </c:pt>
                <c:pt idx="113">
                  <c:v>2.1324874999999976</c:v>
                </c:pt>
                <c:pt idx="114">
                  <c:v>0.64700000000000069</c:v>
                </c:pt>
                <c:pt idx="115">
                  <c:v>0.45951666666666702</c:v>
                </c:pt>
                <c:pt idx="116">
                  <c:v>0.98999090909090859</c:v>
                </c:pt>
                <c:pt idx="117">
                  <c:v>0.59990769230769225</c:v>
                </c:pt>
                <c:pt idx="118">
                  <c:v>0.22178333333333344</c:v>
                </c:pt>
                <c:pt idx="119">
                  <c:v>0.61051749999999949</c:v>
                </c:pt>
                <c:pt idx="120">
                  <c:v>6.5907899999999975</c:v>
                </c:pt>
                <c:pt idx="121">
                  <c:v>0.60807142857142915</c:v>
                </c:pt>
                <c:pt idx="122">
                  <c:v>0.52998000000000001</c:v>
                </c:pt>
                <c:pt idx="123">
                  <c:v>0.94051562499999997</c:v>
                </c:pt>
                <c:pt idx="124">
                  <c:v>0.37109288888888936</c:v>
                </c:pt>
                <c:pt idx="125">
                  <c:v>1.4029849999999988</c:v>
                </c:pt>
                <c:pt idx="126">
                  <c:v>7.6837500000000003E-2</c:v>
                </c:pt>
                <c:pt idx="127">
                  <c:v>0.74120500000000056</c:v>
                </c:pt>
                <c:pt idx="128">
                  <c:v>0.57374666666666663</c:v>
                </c:pt>
                <c:pt idx="129">
                  <c:v>0</c:v>
                </c:pt>
                <c:pt idx="130">
                  <c:v>0.89672450980392138</c:v>
                </c:pt>
                <c:pt idx="131">
                  <c:v>0.70545000000000002</c:v>
                </c:pt>
                <c:pt idx="132">
                  <c:v>0.31862500000000032</c:v>
                </c:pt>
                <c:pt idx="133">
                  <c:v>0.31305000000000033</c:v>
                </c:pt>
                <c:pt idx="134">
                  <c:v>1.0836749999999988</c:v>
                </c:pt>
                <c:pt idx="135">
                  <c:v>0.6167000000000008</c:v>
                </c:pt>
                <c:pt idx="136">
                  <c:v>0.48014500000000004</c:v>
                </c:pt>
                <c:pt idx="137">
                  <c:v>0.59144999999999959</c:v>
                </c:pt>
                <c:pt idx="138">
                  <c:v>0.70792142857142926</c:v>
                </c:pt>
                <c:pt idx="139">
                  <c:v>0.19040714285714308</c:v>
                </c:pt>
                <c:pt idx="140">
                  <c:v>0.62380833333333419</c:v>
                </c:pt>
                <c:pt idx="141">
                  <c:v>0</c:v>
                </c:pt>
                <c:pt idx="142">
                  <c:v>0.28550000000000025</c:v>
                </c:pt>
                <c:pt idx="143">
                  <c:v>0.54979501724138047</c:v>
                </c:pt>
                <c:pt idx="144">
                  <c:v>1.6642916666666667</c:v>
                </c:pt>
                <c:pt idx="145">
                  <c:v>1.9752333333333341</c:v>
                </c:pt>
                <c:pt idx="146">
                  <c:v>6.0304332592592544</c:v>
                </c:pt>
                <c:pt idx="147">
                  <c:v>0.27937983333333338</c:v>
                </c:pt>
                <c:pt idx="148">
                  <c:v>0.10119772727272726</c:v>
                </c:pt>
                <c:pt idx="149">
                  <c:v>2.1177078947368417</c:v>
                </c:pt>
                <c:pt idx="150">
                  <c:v>0.37788181818181865</c:v>
                </c:pt>
                <c:pt idx="151">
                  <c:v>0.94311944444444462</c:v>
                </c:pt>
                <c:pt idx="152">
                  <c:v>0.56641234615384606</c:v>
                </c:pt>
                <c:pt idx="153">
                  <c:v>0.52754090909090856</c:v>
                </c:pt>
                <c:pt idx="154">
                  <c:v>0.61165909090909198</c:v>
                </c:pt>
                <c:pt idx="155">
                  <c:v>1.2337672176308527</c:v>
                </c:pt>
                <c:pt idx="156">
                  <c:v>0.61707811111111166</c:v>
                </c:pt>
                <c:pt idx="157">
                  <c:v>0.70876861111111178</c:v>
                </c:pt>
                <c:pt idx="158">
                  <c:v>8.7000000000000022E-2</c:v>
                </c:pt>
                <c:pt idx="159">
                  <c:v>1.005453846153846</c:v>
                </c:pt>
                <c:pt idx="160">
                  <c:v>0</c:v>
                </c:pt>
                <c:pt idx="161">
                  <c:v>1.2323166666666665</c:v>
                </c:pt>
                <c:pt idx="162">
                  <c:v>0.54305833333333364</c:v>
                </c:pt>
                <c:pt idx="163">
                  <c:v>1.1646286666666665</c:v>
                </c:pt>
                <c:pt idx="164">
                  <c:v>0.74860526315789577</c:v>
                </c:pt>
                <c:pt idx="165">
                  <c:v>1.4694499999999988</c:v>
                </c:pt>
                <c:pt idx="166">
                  <c:v>0.8415047619047612</c:v>
                </c:pt>
                <c:pt idx="167">
                  <c:v>0.61310000000000053</c:v>
                </c:pt>
                <c:pt idx="168">
                  <c:v>0</c:v>
                </c:pt>
              </c:numCache>
            </c:numRef>
          </c:xVal>
          <c:yVal>
            <c:numRef>
              <c:f>'[2]gráficas impacto'!$H$79:$H$247</c:f>
              <c:numCache>
                <c:formatCode>General</c:formatCode>
                <c:ptCount val="169"/>
                <c:pt idx="0">
                  <c:v>4</c:v>
                </c:pt>
                <c:pt idx="1">
                  <c:v>11</c:v>
                </c:pt>
                <c:pt idx="2">
                  <c:v>2</c:v>
                </c:pt>
                <c:pt idx="3">
                  <c:v>2</c:v>
                </c:pt>
                <c:pt idx="4">
                  <c:v>6</c:v>
                </c:pt>
                <c:pt idx="5">
                  <c:v>3</c:v>
                </c:pt>
                <c:pt idx="6">
                  <c:v>5</c:v>
                </c:pt>
                <c:pt idx="7">
                  <c:v>8</c:v>
                </c:pt>
                <c:pt idx="8">
                  <c:v>9</c:v>
                </c:pt>
                <c:pt idx="9">
                  <c:v>2</c:v>
                </c:pt>
                <c:pt idx="10">
                  <c:v>6</c:v>
                </c:pt>
                <c:pt idx="11">
                  <c:v>22</c:v>
                </c:pt>
                <c:pt idx="12">
                  <c:v>8</c:v>
                </c:pt>
                <c:pt idx="13">
                  <c:v>1</c:v>
                </c:pt>
                <c:pt idx="14">
                  <c:v>13</c:v>
                </c:pt>
                <c:pt idx="15">
                  <c:v>17</c:v>
                </c:pt>
                <c:pt idx="16">
                  <c:v>13</c:v>
                </c:pt>
                <c:pt idx="17">
                  <c:v>19</c:v>
                </c:pt>
                <c:pt idx="18">
                  <c:v>3</c:v>
                </c:pt>
                <c:pt idx="19">
                  <c:v>14</c:v>
                </c:pt>
                <c:pt idx="20">
                  <c:v>16</c:v>
                </c:pt>
                <c:pt idx="21">
                  <c:v>21</c:v>
                </c:pt>
                <c:pt idx="22">
                  <c:v>11</c:v>
                </c:pt>
                <c:pt idx="23">
                  <c:v>32</c:v>
                </c:pt>
                <c:pt idx="24">
                  <c:v>19</c:v>
                </c:pt>
                <c:pt idx="25">
                  <c:v>28</c:v>
                </c:pt>
                <c:pt idx="26">
                  <c:v>13</c:v>
                </c:pt>
                <c:pt idx="27">
                  <c:v>20</c:v>
                </c:pt>
                <c:pt idx="28">
                  <c:v>5</c:v>
                </c:pt>
                <c:pt idx="29">
                  <c:v>6</c:v>
                </c:pt>
                <c:pt idx="30">
                  <c:v>7</c:v>
                </c:pt>
                <c:pt idx="31">
                  <c:v>11</c:v>
                </c:pt>
                <c:pt idx="32">
                  <c:v>12</c:v>
                </c:pt>
                <c:pt idx="33">
                  <c:v>7</c:v>
                </c:pt>
                <c:pt idx="34">
                  <c:v>12</c:v>
                </c:pt>
                <c:pt idx="35">
                  <c:v>5</c:v>
                </c:pt>
                <c:pt idx="36">
                  <c:v>7</c:v>
                </c:pt>
                <c:pt idx="37">
                  <c:v>11</c:v>
                </c:pt>
                <c:pt idx="38">
                  <c:v>15</c:v>
                </c:pt>
                <c:pt idx="39">
                  <c:v>15</c:v>
                </c:pt>
                <c:pt idx="40">
                  <c:v>21</c:v>
                </c:pt>
                <c:pt idx="41">
                  <c:v>2</c:v>
                </c:pt>
                <c:pt idx="42">
                  <c:v>16</c:v>
                </c:pt>
                <c:pt idx="43">
                  <c:v>29</c:v>
                </c:pt>
                <c:pt idx="44">
                  <c:v>24</c:v>
                </c:pt>
                <c:pt idx="45">
                  <c:v>14</c:v>
                </c:pt>
                <c:pt idx="46">
                  <c:v>2</c:v>
                </c:pt>
                <c:pt idx="47">
                  <c:v>2</c:v>
                </c:pt>
                <c:pt idx="48">
                  <c:v>3</c:v>
                </c:pt>
                <c:pt idx="49">
                  <c:v>12</c:v>
                </c:pt>
                <c:pt idx="50">
                  <c:v>2</c:v>
                </c:pt>
                <c:pt idx="51">
                  <c:v>3</c:v>
                </c:pt>
                <c:pt idx="52">
                  <c:v>6</c:v>
                </c:pt>
                <c:pt idx="53">
                  <c:v>10</c:v>
                </c:pt>
                <c:pt idx="54">
                  <c:v>12</c:v>
                </c:pt>
                <c:pt idx="55">
                  <c:v>28</c:v>
                </c:pt>
                <c:pt idx="56">
                  <c:v>14</c:v>
                </c:pt>
                <c:pt idx="57">
                  <c:v>10</c:v>
                </c:pt>
                <c:pt idx="58">
                  <c:v>20</c:v>
                </c:pt>
                <c:pt idx="59">
                  <c:v>11</c:v>
                </c:pt>
                <c:pt idx="60">
                  <c:v>10</c:v>
                </c:pt>
                <c:pt idx="61">
                  <c:v>9</c:v>
                </c:pt>
                <c:pt idx="62">
                  <c:v>3</c:v>
                </c:pt>
                <c:pt idx="63">
                  <c:v>3</c:v>
                </c:pt>
                <c:pt idx="64">
                  <c:v>11</c:v>
                </c:pt>
                <c:pt idx="65">
                  <c:v>10</c:v>
                </c:pt>
                <c:pt idx="66">
                  <c:v>18</c:v>
                </c:pt>
                <c:pt idx="67">
                  <c:v>4</c:v>
                </c:pt>
                <c:pt idx="68">
                  <c:v>5</c:v>
                </c:pt>
                <c:pt idx="69">
                  <c:v>9</c:v>
                </c:pt>
                <c:pt idx="70">
                  <c:v>5</c:v>
                </c:pt>
                <c:pt idx="71">
                  <c:v>2</c:v>
                </c:pt>
                <c:pt idx="72">
                  <c:v>3</c:v>
                </c:pt>
                <c:pt idx="73">
                  <c:v>9</c:v>
                </c:pt>
                <c:pt idx="74">
                  <c:v>4</c:v>
                </c:pt>
                <c:pt idx="75">
                  <c:v>2</c:v>
                </c:pt>
                <c:pt idx="76">
                  <c:v>8</c:v>
                </c:pt>
                <c:pt idx="77">
                  <c:v>4</c:v>
                </c:pt>
                <c:pt idx="78">
                  <c:v>13</c:v>
                </c:pt>
                <c:pt idx="79">
                  <c:v>4</c:v>
                </c:pt>
                <c:pt idx="80">
                  <c:v>13</c:v>
                </c:pt>
                <c:pt idx="81">
                  <c:v>4</c:v>
                </c:pt>
                <c:pt idx="82">
                  <c:v>9</c:v>
                </c:pt>
                <c:pt idx="83">
                  <c:v>17</c:v>
                </c:pt>
                <c:pt idx="84">
                  <c:v>5</c:v>
                </c:pt>
                <c:pt idx="85">
                  <c:v>27</c:v>
                </c:pt>
                <c:pt idx="86">
                  <c:v>15</c:v>
                </c:pt>
                <c:pt idx="87">
                  <c:v>8</c:v>
                </c:pt>
                <c:pt idx="88">
                  <c:v>7</c:v>
                </c:pt>
                <c:pt idx="89">
                  <c:v>13</c:v>
                </c:pt>
                <c:pt idx="90">
                  <c:v>19</c:v>
                </c:pt>
                <c:pt idx="91">
                  <c:v>4</c:v>
                </c:pt>
                <c:pt idx="92">
                  <c:v>3</c:v>
                </c:pt>
                <c:pt idx="93">
                  <c:v>3</c:v>
                </c:pt>
                <c:pt idx="94">
                  <c:v>8</c:v>
                </c:pt>
                <c:pt idx="95">
                  <c:v>13</c:v>
                </c:pt>
                <c:pt idx="96">
                  <c:v>9</c:v>
                </c:pt>
                <c:pt idx="97">
                  <c:v>5</c:v>
                </c:pt>
                <c:pt idx="98">
                  <c:v>8</c:v>
                </c:pt>
                <c:pt idx="99">
                  <c:v>7</c:v>
                </c:pt>
                <c:pt idx="100">
                  <c:v>9</c:v>
                </c:pt>
                <c:pt idx="101">
                  <c:v>4</c:v>
                </c:pt>
                <c:pt idx="102">
                  <c:v>10</c:v>
                </c:pt>
                <c:pt idx="103">
                  <c:v>5</c:v>
                </c:pt>
                <c:pt idx="104">
                  <c:v>12</c:v>
                </c:pt>
                <c:pt idx="105">
                  <c:v>5</c:v>
                </c:pt>
                <c:pt idx="106">
                  <c:v>5</c:v>
                </c:pt>
                <c:pt idx="107">
                  <c:v>1</c:v>
                </c:pt>
                <c:pt idx="108">
                  <c:v>29</c:v>
                </c:pt>
                <c:pt idx="109">
                  <c:v>15</c:v>
                </c:pt>
                <c:pt idx="110">
                  <c:v>9</c:v>
                </c:pt>
                <c:pt idx="111">
                  <c:v>4</c:v>
                </c:pt>
                <c:pt idx="112">
                  <c:v>17</c:v>
                </c:pt>
                <c:pt idx="113">
                  <c:v>19</c:v>
                </c:pt>
                <c:pt idx="114">
                  <c:v>9</c:v>
                </c:pt>
                <c:pt idx="115">
                  <c:v>14</c:v>
                </c:pt>
                <c:pt idx="116">
                  <c:v>15</c:v>
                </c:pt>
                <c:pt idx="117">
                  <c:v>11</c:v>
                </c:pt>
                <c:pt idx="118">
                  <c:v>3</c:v>
                </c:pt>
                <c:pt idx="119">
                  <c:v>8</c:v>
                </c:pt>
                <c:pt idx="120">
                  <c:v>7</c:v>
                </c:pt>
                <c:pt idx="121">
                  <c:v>12</c:v>
                </c:pt>
                <c:pt idx="122">
                  <c:v>13</c:v>
                </c:pt>
                <c:pt idx="123">
                  <c:v>21</c:v>
                </c:pt>
                <c:pt idx="124">
                  <c:v>3</c:v>
                </c:pt>
                <c:pt idx="125">
                  <c:v>7</c:v>
                </c:pt>
                <c:pt idx="126">
                  <c:v>10</c:v>
                </c:pt>
                <c:pt idx="127">
                  <c:v>14</c:v>
                </c:pt>
                <c:pt idx="128">
                  <c:v>7</c:v>
                </c:pt>
                <c:pt idx="129">
                  <c:v>2</c:v>
                </c:pt>
                <c:pt idx="130">
                  <c:v>21</c:v>
                </c:pt>
                <c:pt idx="131">
                  <c:v>3</c:v>
                </c:pt>
                <c:pt idx="132">
                  <c:v>7</c:v>
                </c:pt>
                <c:pt idx="133">
                  <c:v>5</c:v>
                </c:pt>
                <c:pt idx="134">
                  <c:v>7</c:v>
                </c:pt>
                <c:pt idx="135">
                  <c:v>20</c:v>
                </c:pt>
                <c:pt idx="136">
                  <c:v>13</c:v>
                </c:pt>
                <c:pt idx="137">
                  <c:v>25</c:v>
                </c:pt>
                <c:pt idx="138">
                  <c:v>20</c:v>
                </c:pt>
                <c:pt idx="139">
                  <c:v>7</c:v>
                </c:pt>
                <c:pt idx="140">
                  <c:v>13</c:v>
                </c:pt>
                <c:pt idx="141">
                  <c:v>3</c:v>
                </c:pt>
                <c:pt idx="142">
                  <c:v>3</c:v>
                </c:pt>
                <c:pt idx="143">
                  <c:v>7</c:v>
                </c:pt>
                <c:pt idx="144">
                  <c:v>16</c:v>
                </c:pt>
                <c:pt idx="145">
                  <c:v>2</c:v>
                </c:pt>
                <c:pt idx="146">
                  <c:v>8</c:v>
                </c:pt>
                <c:pt idx="147">
                  <c:v>16</c:v>
                </c:pt>
                <c:pt idx="148">
                  <c:v>3</c:v>
                </c:pt>
                <c:pt idx="149">
                  <c:v>3</c:v>
                </c:pt>
                <c:pt idx="150">
                  <c:v>5</c:v>
                </c:pt>
                <c:pt idx="151">
                  <c:v>10</c:v>
                </c:pt>
                <c:pt idx="152">
                  <c:v>13</c:v>
                </c:pt>
                <c:pt idx="153">
                  <c:v>16</c:v>
                </c:pt>
                <c:pt idx="154">
                  <c:v>12</c:v>
                </c:pt>
                <c:pt idx="155">
                  <c:v>17</c:v>
                </c:pt>
                <c:pt idx="156">
                  <c:v>6</c:v>
                </c:pt>
                <c:pt idx="157">
                  <c:v>13</c:v>
                </c:pt>
                <c:pt idx="158">
                  <c:v>3</c:v>
                </c:pt>
                <c:pt idx="159">
                  <c:v>24</c:v>
                </c:pt>
                <c:pt idx="160">
                  <c:v>1</c:v>
                </c:pt>
                <c:pt idx="161">
                  <c:v>28</c:v>
                </c:pt>
                <c:pt idx="162">
                  <c:v>25</c:v>
                </c:pt>
                <c:pt idx="163">
                  <c:v>29</c:v>
                </c:pt>
                <c:pt idx="164">
                  <c:v>10</c:v>
                </c:pt>
                <c:pt idx="165">
                  <c:v>20</c:v>
                </c:pt>
                <c:pt idx="166">
                  <c:v>6</c:v>
                </c:pt>
                <c:pt idx="167">
                  <c:v>7</c:v>
                </c:pt>
                <c:pt idx="168">
                  <c:v>1</c:v>
                </c:pt>
              </c:numCache>
            </c:numRef>
          </c:yVal>
        </c:ser>
        <c:dLbls/>
        <c:axId val="132875008"/>
        <c:axId val="132876928"/>
      </c:scatterChart>
      <c:valAx>
        <c:axId val="132875008"/>
        <c:scaling>
          <c:orientation val="minMax"/>
          <c:max val="8"/>
        </c:scaling>
        <c:axPos val="b"/>
        <c:title>
          <c:tx>
            <c:rich>
              <a:bodyPr rot="0" vert="horz"/>
              <a:lstStyle/>
              <a:p>
                <a:pPr>
                  <a:defRPr>
                    <a:solidFill>
                      <a:srgbClr val="000000"/>
                    </a:solidFill>
                  </a:defRPr>
                </a:pPr>
                <a:r>
                  <a:rPr lang="es-ES"/>
                  <a:t>Ratio de quidad salarial, 2012</a:t>
                </a:r>
              </a:p>
            </c:rich>
          </c:tx>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32876928"/>
        <c:crosses val="autoZero"/>
        <c:crossBetween val="midCat"/>
      </c:valAx>
      <c:valAx>
        <c:axId val="132876928"/>
        <c:scaling>
          <c:orientation val="minMax"/>
        </c:scaling>
        <c:axPos val="l"/>
        <c:title>
          <c:tx>
            <c:rich>
              <a:bodyPr rot="-5400000" vert="horz"/>
              <a:lstStyle/>
              <a:p>
                <a:pPr>
                  <a:defRPr>
                    <a:solidFill>
                      <a:srgbClr val="000000"/>
                    </a:solidFill>
                  </a:defRPr>
                </a:pPr>
                <a:r>
                  <a:rPr lang="es-ES"/>
                  <a:t>Años de actividad 2013</a:t>
                </a:r>
              </a:p>
            </c:rich>
          </c:tx>
          <c:layout>
            <c:manualLayout>
              <c:xMode val="edge"/>
              <c:yMode val="edge"/>
              <c:x val="1.4391832135113546E-2"/>
              <c:y val="0.29542432195975521"/>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32875008"/>
        <c:crosses val="autoZero"/>
        <c:crossBetween val="midCat"/>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Número medio de empleados con discapacidad por CEE, 2013</a:t>
            </a:r>
          </a:p>
        </c:rich>
      </c:tx>
      <c:layout>
        <c:manualLayout>
          <c:xMode val="edge"/>
          <c:yMode val="edge"/>
          <c:x val="0.15788446798132541"/>
          <c:y val="2.1174461626031682E-3"/>
        </c:manualLayout>
      </c:layout>
    </c:title>
    <c:plotArea>
      <c:layout>
        <c:manualLayout>
          <c:layoutTarget val="inner"/>
          <c:xMode val="edge"/>
          <c:yMode val="edge"/>
          <c:x val="0.11794510686164229"/>
          <c:y val="0.1527158196134574"/>
          <c:w val="0.80491203599550054"/>
          <c:h val="0.64036757337151062"/>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900"/>
                </a:pPr>
                <a:endParaRPr lang="es-ES"/>
              </a:p>
            </c:txPr>
            <c:showVal val="1"/>
            <c:extLst>
              <c:ext xmlns:c15="http://schemas.microsoft.com/office/drawing/2012/chart" uri="{CE6537A1-D6FC-4f65-9D91-7224C49458BB}">
                <c15:showLeaderLines val="0"/>
              </c:ext>
            </c:extLst>
          </c:dLbls>
          <c:cat>
            <c:strRef>
              <c:f>Empleo!$B$195:$B$197</c:f>
              <c:strCache>
                <c:ptCount val="3"/>
                <c:pt idx="0">
                  <c:v>Todos los CEEs</c:v>
                </c:pt>
                <c:pt idx="1">
                  <c:v>Iniciativa social</c:v>
                </c:pt>
                <c:pt idx="2">
                  <c:v>Iniciativa empresarial</c:v>
                </c:pt>
              </c:strCache>
            </c:strRef>
          </c:cat>
          <c:val>
            <c:numRef>
              <c:f>Empleo!$C$195:$C$197</c:f>
              <c:numCache>
                <c:formatCode>0</c:formatCode>
                <c:ptCount val="3"/>
                <c:pt idx="0" formatCode="General">
                  <c:v>24</c:v>
                </c:pt>
                <c:pt idx="1">
                  <c:v>43.941176470588225</c:v>
                </c:pt>
                <c:pt idx="2">
                  <c:v>15.144067796610166</c:v>
                </c:pt>
              </c:numCache>
            </c:numRef>
          </c:val>
        </c:ser>
        <c:dLbls/>
        <c:gapWidth val="40"/>
        <c:axId val="132909696"/>
        <c:axId val="132927872"/>
      </c:barChart>
      <c:catAx>
        <c:axId val="132909696"/>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32927872"/>
        <c:crosses val="autoZero"/>
        <c:auto val="1"/>
        <c:lblAlgn val="ctr"/>
        <c:lblOffset val="100"/>
      </c:catAx>
      <c:valAx>
        <c:axId val="132927872"/>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32909696"/>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 baseline="0"/>
              <a:t>Distribución del número de personas con discapacidad empleadas en los CEEs</a:t>
            </a:r>
            <a:endParaRPr lang="es-ES"/>
          </a:p>
        </c:rich>
      </c:tx>
      <c:layout>
        <c:manualLayout>
          <c:xMode val="edge"/>
          <c:yMode val="edge"/>
          <c:x val="0.176969696969697"/>
          <c:y val="4.2622009205371084E-2"/>
        </c:manualLayout>
      </c:layout>
      <c:spPr>
        <a:noFill/>
        <a:ln>
          <a:noFill/>
        </a:ln>
        <a:effectLst/>
      </c:spPr>
    </c:title>
    <c:plotArea>
      <c:layout>
        <c:manualLayout>
          <c:layoutTarget val="inner"/>
          <c:xMode val="edge"/>
          <c:yMode val="edge"/>
          <c:x val="0.11794510686164229"/>
          <c:y val="0.2263607605817832"/>
          <c:w val="0.83034285714285738"/>
          <c:h val="0.6588137399855587"/>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Histogramas!$AM$4:$AM$9</c:f>
              <c:strCache>
                <c:ptCount val="6"/>
                <c:pt idx="0">
                  <c:v>&lt;=5</c:v>
                </c:pt>
                <c:pt idx="1">
                  <c:v>5-10</c:v>
                </c:pt>
                <c:pt idx="2">
                  <c:v>10-20</c:v>
                </c:pt>
                <c:pt idx="3">
                  <c:v>20-50</c:v>
                </c:pt>
                <c:pt idx="4">
                  <c:v>50-100</c:v>
                </c:pt>
                <c:pt idx="5">
                  <c:v>100-600</c:v>
                </c:pt>
              </c:strCache>
            </c:strRef>
          </c:cat>
          <c:val>
            <c:numRef>
              <c:f>Histogramas!$AN$4:$AN$9</c:f>
              <c:numCache>
                <c:formatCode>General</c:formatCode>
                <c:ptCount val="6"/>
                <c:pt idx="0">
                  <c:v>75</c:v>
                </c:pt>
                <c:pt idx="1">
                  <c:v>32</c:v>
                </c:pt>
                <c:pt idx="2">
                  <c:v>23</c:v>
                </c:pt>
                <c:pt idx="3">
                  <c:v>24</c:v>
                </c:pt>
                <c:pt idx="4">
                  <c:v>5</c:v>
                </c:pt>
                <c:pt idx="5">
                  <c:v>10</c:v>
                </c:pt>
              </c:numCache>
            </c:numRef>
          </c:val>
        </c:ser>
        <c:dLbls>
          <c:showVal val="1"/>
        </c:dLbls>
        <c:gapWidth val="40"/>
        <c:axId val="139710464"/>
        <c:axId val="139712000"/>
      </c:barChart>
      <c:catAx>
        <c:axId val="139710464"/>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9712000"/>
        <c:crosses val="autoZero"/>
        <c:auto val="1"/>
        <c:lblAlgn val="ctr"/>
        <c:lblOffset val="100"/>
      </c:catAx>
      <c:valAx>
        <c:axId val="139712000"/>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8.5714285714285736E-3"/>
              <c:y val="0.39901351304886029"/>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9710464"/>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 baseline="0"/>
              <a:t>Distribución del tamaño de los CEEs (número total de empleados)</a:t>
            </a:r>
            <a:endParaRPr lang="es-ES"/>
          </a:p>
        </c:rich>
      </c:tx>
      <c:layout>
        <c:manualLayout>
          <c:xMode val="edge"/>
          <c:yMode val="edge"/>
          <c:x val="0.17714285714285716"/>
          <c:y val="6.8752769540171121E-4"/>
        </c:manualLayout>
      </c:layout>
      <c:spPr>
        <a:noFill/>
        <a:ln>
          <a:noFill/>
        </a:ln>
        <a:effectLst/>
      </c:spPr>
    </c:title>
    <c:plotArea>
      <c:layout>
        <c:manualLayout>
          <c:layoutTarget val="inner"/>
          <c:xMode val="edge"/>
          <c:yMode val="edge"/>
          <c:x val="0.11794510686164229"/>
          <c:y val="0.19656099805706106"/>
          <c:w val="0.82462857142857182"/>
          <c:h val="0.68861335514878841"/>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Histogramas!$AV$3:$AV$8</c:f>
              <c:strCache>
                <c:ptCount val="6"/>
                <c:pt idx="0">
                  <c:v>&lt;5</c:v>
                </c:pt>
                <c:pt idx="1">
                  <c:v>5-10</c:v>
                </c:pt>
                <c:pt idx="2">
                  <c:v>10-20</c:v>
                </c:pt>
                <c:pt idx="3">
                  <c:v>20-50</c:v>
                </c:pt>
                <c:pt idx="4">
                  <c:v>50-100</c:v>
                </c:pt>
                <c:pt idx="5">
                  <c:v>100-700</c:v>
                </c:pt>
              </c:strCache>
            </c:strRef>
          </c:cat>
          <c:val>
            <c:numRef>
              <c:f>Histogramas!$AW$3:$AW$8</c:f>
              <c:numCache>
                <c:formatCode>General</c:formatCode>
                <c:ptCount val="6"/>
                <c:pt idx="0">
                  <c:v>66</c:v>
                </c:pt>
                <c:pt idx="1">
                  <c:v>33</c:v>
                </c:pt>
                <c:pt idx="2">
                  <c:v>28</c:v>
                </c:pt>
                <c:pt idx="3">
                  <c:v>23</c:v>
                </c:pt>
                <c:pt idx="4">
                  <c:v>9</c:v>
                </c:pt>
                <c:pt idx="5">
                  <c:v>10</c:v>
                </c:pt>
              </c:numCache>
            </c:numRef>
          </c:val>
        </c:ser>
        <c:dLbls>
          <c:showVal val="1"/>
        </c:dLbls>
        <c:gapWidth val="40"/>
        <c:axId val="117676288"/>
        <c:axId val="140623872"/>
      </c:barChart>
      <c:catAx>
        <c:axId val="117676288"/>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40623872"/>
        <c:crosses val="autoZero"/>
        <c:auto val="1"/>
        <c:lblAlgn val="ctr"/>
        <c:lblOffset val="100"/>
      </c:catAx>
      <c:valAx>
        <c:axId val="140623872"/>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2.5714285714285714E-2"/>
              <c:y val="0.3204108804581246"/>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17676288"/>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Ratio medio de empleados PCD/empleados totales </a:t>
            </a:r>
          </a:p>
        </c:rich>
      </c:tx>
      <c:layout>
        <c:manualLayout>
          <c:xMode val="edge"/>
          <c:yMode val="edge"/>
          <c:x val="0.21746103165675723"/>
          <c:y val="3.3002022288197565E-3"/>
        </c:manualLayout>
      </c:layout>
    </c:title>
    <c:plotArea>
      <c:layout>
        <c:manualLayout>
          <c:layoutTarget val="inner"/>
          <c:xMode val="edge"/>
          <c:yMode val="edge"/>
          <c:x val="0.19373648293963291"/>
          <c:y val="0.16201492054872454"/>
          <c:w val="0.66816827896512965"/>
          <c:h val="0.61439871740170704"/>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900"/>
                </a:pPr>
                <a:endParaRPr lang="es-ES"/>
              </a:p>
            </c:txPr>
            <c:showVal val="1"/>
            <c:extLst>
              <c:ext xmlns:c15="http://schemas.microsoft.com/office/drawing/2012/chart" uri="{CE6537A1-D6FC-4f65-9D91-7224C49458BB}">
                <c15:showLeaderLines val="0"/>
              </c:ext>
            </c:extLst>
          </c:dLbls>
          <c:cat>
            <c:strRef>
              <c:f>Empleo!$L$195:$L$197</c:f>
              <c:strCache>
                <c:ptCount val="3"/>
                <c:pt idx="0">
                  <c:v>Todos los CEEs</c:v>
                </c:pt>
                <c:pt idx="1">
                  <c:v>Iniciativa social</c:v>
                </c:pt>
                <c:pt idx="2">
                  <c:v>Iniciativa empresarial</c:v>
                </c:pt>
              </c:strCache>
            </c:strRef>
          </c:cat>
          <c:val>
            <c:numRef>
              <c:f>Empleo!$M$195:$M$197</c:f>
              <c:numCache>
                <c:formatCode>0.00</c:formatCode>
                <c:ptCount val="3"/>
                <c:pt idx="0" formatCode="General">
                  <c:v>0.91</c:v>
                </c:pt>
                <c:pt idx="1">
                  <c:v>0.91155483146538641</c:v>
                </c:pt>
                <c:pt idx="2">
                  <c:v>0.9111039039183636</c:v>
                </c:pt>
              </c:numCache>
            </c:numRef>
          </c:val>
        </c:ser>
        <c:dLbls/>
        <c:gapWidth val="40"/>
        <c:axId val="140639232"/>
        <c:axId val="139739904"/>
      </c:barChart>
      <c:catAx>
        <c:axId val="140639232"/>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39739904"/>
        <c:crosses val="autoZero"/>
        <c:auto val="1"/>
        <c:lblAlgn val="ctr"/>
        <c:lblOffset val="100"/>
      </c:catAx>
      <c:valAx>
        <c:axId val="139739904"/>
        <c:scaling>
          <c:orientation val="minMax"/>
          <c:max val="0.95000000000000062"/>
          <c:min val="0.8"/>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40639232"/>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
              <a:t>Distribución</a:t>
            </a:r>
            <a:r>
              <a:rPr lang="es-ES" baseline="0"/>
              <a:t> de los r</a:t>
            </a:r>
            <a:r>
              <a:rPr lang="es-ES"/>
              <a:t>atios de PCD sobre empleados totales de los</a:t>
            </a:r>
            <a:r>
              <a:rPr lang="es-ES" baseline="0"/>
              <a:t> CEEs</a:t>
            </a:r>
            <a:endParaRPr lang="es-ES"/>
          </a:p>
        </c:rich>
      </c:tx>
      <c:layout>
        <c:manualLayout>
          <c:xMode val="edge"/>
          <c:yMode val="edge"/>
          <c:x val="0.15071120515221947"/>
          <c:y val="3.3214709371292998E-2"/>
        </c:manualLayout>
      </c:layout>
      <c:spPr>
        <a:noFill/>
        <a:ln>
          <a:noFill/>
        </a:ln>
        <a:effectLst/>
      </c:spPr>
    </c:title>
    <c:plotArea>
      <c:layout>
        <c:manualLayout>
          <c:layoutTarget val="inner"/>
          <c:xMode val="edge"/>
          <c:yMode val="edge"/>
          <c:x val="0.11794510686164229"/>
          <c:y val="0.15212491052254831"/>
          <c:w val="0.85634060742407225"/>
          <c:h val="0.68692555476020067"/>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Histogramas!$CR$3:$CR$9</c:f>
              <c:strCache>
                <c:ptCount val="7"/>
                <c:pt idx="0">
                  <c:v>&lt;=0,7</c:v>
                </c:pt>
                <c:pt idx="1">
                  <c:v>0,7-0,75</c:v>
                </c:pt>
                <c:pt idx="2">
                  <c:v>0,75-0,8</c:v>
                </c:pt>
                <c:pt idx="3">
                  <c:v>0,8-0,85</c:v>
                </c:pt>
                <c:pt idx="4">
                  <c:v>0,85-0,9</c:v>
                </c:pt>
                <c:pt idx="5">
                  <c:v>0,9-0,95</c:v>
                </c:pt>
                <c:pt idx="6">
                  <c:v>&gt;0,95</c:v>
                </c:pt>
              </c:strCache>
            </c:strRef>
          </c:cat>
          <c:val>
            <c:numRef>
              <c:f>Histogramas!$CS$3:$CS$9</c:f>
              <c:numCache>
                <c:formatCode>General</c:formatCode>
                <c:ptCount val="7"/>
                <c:pt idx="0">
                  <c:v>7</c:v>
                </c:pt>
                <c:pt idx="1">
                  <c:v>11</c:v>
                </c:pt>
                <c:pt idx="2">
                  <c:v>11</c:v>
                </c:pt>
                <c:pt idx="3">
                  <c:v>13</c:v>
                </c:pt>
                <c:pt idx="4">
                  <c:v>24</c:v>
                </c:pt>
                <c:pt idx="5">
                  <c:v>20</c:v>
                </c:pt>
                <c:pt idx="6">
                  <c:v>79</c:v>
                </c:pt>
              </c:numCache>
            </c:numRef>
          </c:val>
        </c:ser>
        <c:dLbls>
          <c:showVal val="1"/>
        </c:dLbls>
        <c:gapWidth val="40"/>
        <c:axId val="155358336"/>
        <c:axId val="155359872"/>
      </c:barChart>
      <c:catAx>
        <c:axId val="155358336"/>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55359872"/>
        <c:crosses val="autoZero"/>
        <c:auto val="1"/>
        <c:lblAlgn val="ctr"/>
        <c:lblOffset val="100"/>
      </c:catAx>
      <c:valAx>
        <c:axId val="155359872"/>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a:t>
                </a:r>
                <a:r>
                  <a:rPr lang="es-ES" baseline="0"/>
                  <a:t> Centros</a:t>
                </a:r>
                <a:endParaRPr lang="es-ES"/>
              </a:p>
            </c:rich>
          </c:tx>
          <c:layout>
            <c:manualLayout>
              <c:xMode val="edge"/>
              <c:yMode val="edge"/>
              <c:x val="2.5714285714285714E-2"/>
              <c:y val="0.2791671438797424"/>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55358336"/>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900" b="1">
                <a:solidFill>
                  <a:srgbClr val="00338D"/>
                </a:solidFill>
                <a:latin typeface="Arial"/>
                <a:ea typeface="Arial"/>
                <a:cs typeface="Arial"/>
              </a:defRPr>
            </a:pPr>
            <a:r>
              <a:rPr lang="es-ES" sz="900" dirty="0"/>
              <a:t>Correlación</a:t>
            </a:r>
            <a:r>
              <a:rPr lang="es-ES" sz="900" baseline="0" dirty="0"/>
              <a:t> entre </a:t>
            </a:r>
            <a:r>
              <a:rPr lang="es-ES" sz="900" baseline="0" dirty="0" smtClean="0"/>
              <a:t>años de actividad </a:t>
            </a:r>
            <a:r>
              <a:rPr lang="es-ES" sz="900" baseline="0" dirty="0"/>
              <a:t>y número de empleados con discapacidad de los </a:t>
            </a:r>
            <a:r>
              <a:rPr lang="es-ES" sz="900" baseline="0" dirty="0" smtClean="0"/>
              <a:t>CEEs* </a:t>
            </a:r>
            <a:endParaRPr lang="es-ES" sz="900" dirty="0"/>
          </a:p>
        </c:rich>
      </c:tx>
      <c:layout>
        <c:manualLayout>
          <c:xMode val="edge"/>
          <c:yMode val="edge"/>
          <c:x val="0.17023756757226544"/>
          <c:y val="5.9038162865300559E-4"/>
        </c:manualLayout>
      </c:layout>
    </c:title>
    <c:plotArea>
      <c:layout>
        <c:manualLayout>
          <c:layoutTarget val="inner"/>
          <c:xMode val="edge"/>
          <c:yMode val="edge"/>
          <c:x val="0.14295130796916591"/>
          <c:y val="0.15269920066056183"/>
          <c:w val="0.79358371112701809"/>
          <c:h val="0.7163457536854011"/>
        </c:manualLayout>
      </c:layout>
      <c:scatterChart>
        <c:scatterStyle val="lineMarker"/>
        <c:ser>
          <c:idx val="0"/>
          <c:order val="0"/>
          <c:tx>
            <c:strRef>
              <c:f>empleo!$C$21</c:f>
              <c:strCache>
                <c:ptCount val="1"/>
                <c:pt idx="0">
                  <c:v>Número de empleados con discapacidad en plantilla</c:v>
                </c:pt>
              </c:strCache>
            </c:strRef>
          </c:tx>
          <c:spPr>
            <a:ln w="28575">
              <a:noFill/>
            </a:ln>
          </c:spPr>
          <c:marker>
            <c:symbol val="diamond"/>
            <c:size val="5"/>
            <c:spPr>
              <a:solidFill>
                <a:srgbClr val="007C92"/>
              </a:solidFill>
              <a:ln>
                <a:solidFill>
                  <a:srgbClr val="007C92"/>
                </a:solidFill>
                <a:prstDash val="solid"/>
              </a:ln>
            </c:spPr>
          </c:marker>
          <c:trendline>
            <c:trendlineType val="linear"/>
          </c:trendline>
          <c:xVal>
            <c:numRef>
              <c:f>empleo!$B$22:$B$190</c:f>
              <c:numCache>
                <c:formatCode>General</c:formatCode>
                <c:ptCount val="169"/>
                <c:pt idx="0">
                  <c:v>4</c:v>
                </c:pt>
                <c:pt idx="1">
                  <c:v>11</c:v>
                </c:pt>
                <c:pt idx="2">
                  <c:v>2</c:v>
                </c:pt>
                <c:pt idx="3">
                  <c:v>2</c:v>
                </c:pt>
                <c:pt idx="4">
                  <c:v>6</c:v>
                </c:pt>
                <c:pt idx="5">
                  <c:v>3</c:v>
                </c:pt>
                <c:pt idx="6">
                  <c:v>5</c:v>
                </c:pt>
                <c:pt idx="7">
                  <c:v>8</c:v>
                </c:pt>
                <c:pt idx="8">
                  <c:v>9</c:v>
                </c:pt>
                <c:pt idx="9">
                  <c:v>2</c:v>
                </c:pt>
                <c:pt idx="10">
                  <c:v>6</c:v>
                </c:pt>
                <c:pt idx="11">
                  <c:v>22</c:v>
                </c:pt>
                <c:pt idx="12">
                  <c:v>8</c:v>
                </c:pt>
                <c:pt idx="13">
                  <c:v>1</c:v>
                </c:pt>
                <c:pt idx="14">
                  <c:v>13</c:v>
                </c:pt>
                <c:pt idx="15">
                  <c:v>17</c:v>
                </c:pt>
                <c:pt idx="16">
                  <c:v>13</c:v>
                </c:pt>
                <c:pt idx="17">
                  <c:v>19</c:v>
                </c:pt>
                <c:pt idx="18">
                  <c:v>3</c:v>
                </c:pt>
                <c:pt idx="19">
                  <c:v>14</c:v>
                </c:pt>
                <c:pt idx="20">
                  <c:v>16</c:v>
                </c:pt>
                <c:pt idx="21">
                  <c:v>21</c:v>
                </c:pt>
                <c:pt idx="22">
                  <c:v>11</c:v>
                </c:pt>
                <c:pt idx="23">
                  <c:v>32</c:v>
                </c:pt>
                <c:pt idx="24">
                  <c:v>19</c:v>
                </c:pt>
                <c:pt idx="25">
                  <c:v>28</c:v>
                </c:pt>
                <c:pt idx="26">
                  <c:v>13</c:v>
                </c:pt>
                <c:pt idx="27">
                  <c:v>20</c:v>
                </c:pt>
                <c:pt idx="28">
                  <c:v>5</c:v>
                </c:pt>
                <c:pt idx="29">
                  <c:v>6</c:v>
                </c:pt>
                <c:pt idx="30">
                  <c:v>7</c:v>
                </c:pt>
                <c:pt idx="31">
                  <c:v>11</c:v>
                </c:pt>
                <c:pt idx="32">
                  <c:v>12</c:v>
                </c:pt>
                <c:pt idx="33">
                  <c:v>7</c:v>
                </c:pt>
                <c:pt idx="34">
                  <c:v>12</c:v>
                </c:pt>
                <c:pt idx="35">
                  <c:v>5</c:v>
                </c:pt>
                <c:pt idx="36">
                  <c:v>7</c:v>
                </c:pt>
                <c:pt idx="37">
                  <c:v>11</c:v>
                </c:pt>
                <c:pt idx="38">
                  <c:v>15</c:v>
                </c:pt>
                <c:pt idx="39">
                  <c:v>15</c:v>
                </c:pt>
                <c:pt idx="40">
                  <c:v>21</c:v>
                </c:pt>
                <c:pt idx="41">
                  <c:v>2</c:v>
                </c:pt>
                <c:pt idx="42">
                  <c:v>16</c:v>
                </c:pt>
                <c:pt idx="43">
                  <c:v>29</c:v>
                </c:pt>
                <c:pt idx="44">
                  <c:v>24</c:v>
                </c:pt>
                <c:pt idx="45">
                  <c:v>14</c:v>
                </c:pt>
                <c:pt idx="46">
                  <c:v>2</c:v>
                </c:pt>
                <c:pt idx="47">
                  <c:v>2</c:v>
                </c:pt>
                <c:pt idx="48">
                  <c:v>3</c:v>
                </c:pt>
                <c:pt idx="49">
                  <c:v>12</c:v>
                </c:pt>
                <c:pt idx="50">
                  <c:v>2</c:v>
                </c:pt>
                <c:pt idx="51">
                  <c:v>3</c:v>
                </c:pt>
                <c:pt idx="52">
                  <c:v>6</c:v>
                </c:pt>
                <c:pt idx="53">
                  <c:v>10</c:v>
                </c:pt>
                <c:pt idx="54">
                  <c:v>12</c:v>
                </c:pt>
                <c:pt idx="55">
                  <c:v>28</c:v>
                </c:pt>
                <c:pt idx="56">
                  <c:v>14</c:v>
                </c:pt>
                <c:pt idx="57">
                  <c:v>10</c:v>
                </c:pt>
                <c:pt idx="58">
                  <c:v>20</c:v>
                </c:pt>
                <c:pt idx="59">
                  <c:v>11</c:v>
                </c:pt>
                <c:pt idx="60">
                  <c:v>10</c:v>
                </c:pt>
                <c:pt idx="61">
                  <c:v>9</c:v>
                </c:pt>
                <c:pt idx="62">
                  <c:v>3</c:v>
                </c:pt>
                <c:pt idx="63">
                  <c:v>3</c:v>
                </c:pt>
                <c:pt idx="64">
                  <c:v>11</c:v>
                </c:pt>
                <c:pt idx="65">
                  <c:v>10</c:v>
                </c:pt>
                <c:pt idx="66">
                  <c:v>18</c:v>
                </c:pt>
                <c:pt idx="67">
                  <c:v>4</c:v>
                </c:pt>
                <c:pt idx="68">
                  <c:v>5</c:v>
                </c:pt>
                <c:pt idx="69">
                  <c:v>9</c:v>
                </c:pt>
                <c:pt idx="70">
                  <c:v>5</c:v>
                </c:pt>
                <c:pt idx="71">
                  <c:v>2</c:v>
                </c:pt>
                <c:pt idx="72">
                  <c:v>3</c:v>
                </c:pt>
                <c:pt idx="73">
                  <c:v>9</c:v>
                </c:pt>
                <c:pt idx="74">
                  <c:v>4</c:v>
                </c:pt>
                <c:pt idx="75">
                  <c:v>2</c:v>
                </c:pt>
                <c:pt idx="76">
                  <c:v>8</c:v>
                </c:pt>
                <c:pt idx="77">
                  <c:v>4</c:v>
                </c:pt>
                <c:pt idx="78">
                  <c:v>13</c:v>
                </c:pt>
                <c:pt idx="79">
                  <c:v>4</c:v>
                </c:pt>
                <c:pt idx="80">
                  <c:v>13</c:v>
                </c:pt>
                <c:pt idx="81">
                  <c:v>4</c:v>
                </c:pt>
                <c:pt idx="82">
                  <c:v>9</c:v>
                </c:pt>
                <c:pt idx="83">
                  <c:v>17</c:v>
                </c:pt>
                <c:pt idx="84">
                  <c:v>5</c:v>
                </c:pt>
                <c:pt idx="85">
                  <c:v>27</c:v>
                </c:pt>
                <c:pt idx="86">
                  <c:v>15</c:v>
                </c:pt>
                <c:pt idx="87">
                  <c:v>8</c:v>
                </c:pt>
                <c:pt idx="88">
                  <c:v>7</c:v>
                </c:pt>
                <c:pt idx="89">
                  <c:v>13</c:v>
                </c:pt>
                <c:pt idx="90">
                  <c:v>19</c:v>
                </c:pt>
                <c:pt idx="91">
                  <c:v>4</c:v>
                </c:pt>
                <c:pt idx="92">
                  <c:v>3</c:v>
                </c:pt>
                <c:pt idx="93">
                  <c:v>3</c:v>
                </c:pt>
                <c:pt idx="94">
                  <c:v>8</c:v>
                </c:pt>
                <c:pt idx="95">
                  <c:v>13</c:v>
                </c:pt>
                <c:pt idx="96">
                  <c:v>9</c:v>
                </c:pt>
                <c:pt idx="97">
                  <c:v>5</c:v>
                </c:pt>
                <c:pt idx="98">
                  <c:v>8</c:v>
                </c:pt>
                <c:pt idx="99">
                  <c:v>7</c:v>
                </c:pt>
                <c:pt idx="100">
                  <c:v>9</c:v>
                </c:pt>
                <c:pt idx="101">
                  <c:v>4</c:v>
                </c:pt>
                <c:pt idx="102">
                  <c:v>10</c:v>
                </c:pt>
                <c:pt idx="103">
                  <c:v>5</c:v>
                </c:pt>
                <c:pt idx="104">
                  <c:v>12</c:v>
                </c:pt>
                <c:pt idx="105">
                  <c:v>5</c:v>
                </c:pt>
                <c:pt idx="106">
                  <c:v>5</c:v>
                </c:pt>
                <c:pt idx="107">
                  <c:v>1</c:v>
                </c:pt>
                <c:pt idx="108">
                  <c:v>29</c:v>
                </c:pt>
                <c:pt idx="109">
                  <c:v>15</c:v>
                </c:pt>
                <c:pt idx="110">
                  <c:v>9</c:v>
                </c:pt>
                <c:pt idx="111">
                  <c:v>4</c:v>
                </c:pt>
                <c:pt idx="112">
                  <c:v>17</c:v>
                </c:pt>
                <c:pt idx="113">
                  <c:v>19</c:v>
                </c:pt>
                <c:pt idx="114">
                  <c:v>9</c:v>
                </c:pt>
                <c:pt idx="115">
                  <c:v>14</c:v>
                </c:pt>
                <c:pt idx="116">
                  <c:v>15</c:v>
                </c:pt>
                <c:pt idx="117">
                  <c:v>11</c:v>
                </c:pt>
                <c:pt idx="118">
                  <c:v>3</c:v>
                </c:pt>
                <c:pt idx="119">
                  <c:v>8</c:v>
                </c:pt>
                <c:pt idx="120">
                  <c:v>7</c:v>
                </c:pt>
                <c:pt idx="121">
                  <c:v>12</c:v>
                </c:pt>
                <c:pt idx="122">
                  <c:v>13</c:v>
                </c:pt>
                <c:pt idx="123">
                  <c:v>21</c:v>
                </c:pt>
                <c:pt idx="124">
                  <c:v>3</c:v>
                </c:pt>
                <c:pt idx="125">
                  <c:v>7</c:v>
                </c:pt>
                <c:pt idx="126">
                  <c:v>10</c:v>
                </c:pt>
                <c:pt idx="127">
                  <c:v>14</c:v>
                </c:pt>
                <c:pt idx="128">
                  <c:v>7</c:v>
                </c:pt>
                <c:pt idx="129">
                  <c:v>2</c:v>
                </c:pt>
                <c:pt idx="130">
                  <c:v>21</c:v>
                </c:pt>
                <c:pt idx="131">
                  <c:v>3</c:v>
                </c:pt>
                <c:pt idx="132">
                  <c:v>7</c:v>
                </c:pt>
                <c:pt idx="133">
                  <c:v>5</c:v>
                </c:pt>
                <c:pt idx="134">
                  <c:v>7</c:v>
                </c:pt>
                <c:pt idx="135">
                  <c:v>20</c:v>
                </c:pt>
                <c:pt idx="136">
                  <c:v>13</c:v>
                </c:pt>
                <c:pt idx="137">
                  <c:v>25</c:v>
                </c:pt>
                <c:pt idx="138">
                  <c:v>20</c:v>
                </c:pt>
                <c:pt idx="139">
                  <c:v>7</c:v>
                </c:pt>
                <c:pt idx="140">
                  <c:v>13</c:v>
                </c:pt>
                <c:pt idx="141">
                  <c:v>3</c:v>
                </c:pt>
                <c:pt idx="142">
                  <c:v>3</c:v>
                </c:pt>
                <c:pt idx="143">
                  <c:v>7</c:v>
                </c:pt>
                <c:pt idx="144">
                  <c:v>16</c:v>
                </c:pt>
                <c:pt idx="145">
                  <c:v>2</c:v>
                </c:pt>
                <c:pt idx="146">
                  <c:v>8</c:v>
                </c:pt>
                <c:pt idx="147">
                  <c:v>16</c:v>
                </c:pt>
                <c:pt idx="148">
                  <c:v>3</c:v>
                </c:pt>
                <c:pt idx="149">
                  <c:v>3</c:v>
                </c:pt>
                <c:pt idx="150">
                  <c:v>5</c:v>
                </c:pt>
                <c:pt idx="151">
                  <c:v>10</c:v>
                </c:pt>
                <c:pt idx="152">
                  <c:v>13</c:v>
                </c:pt>
                <c:pt idx="153">
                  <c:v>16</c:v>
                </c:pt>
                <c:pt idx="154">
                  <c:v>12</c:v>
                </c:pt>
                <c:pt idx="155">
                  <c:v>17</c:v>
                </c:pt>
                <c:pt idx="156">
                  <c:v>6</c:v>
                </c:pt>
                <c:pt idx="157">
                  <c:v>13</c:v>
                </c:pt>
                <c:pt idx="158">
                  <c:v>3</c:v>
                </c:pt>
                <c:pt idx="159">
                  <c:v>24</c:v>
                </c:pt>
                <c:pt idx="160">
                  <c:v>1</c:v>
                </c:pt>
                <c:pt idx="161">
                  <c:v>28</c:v>
                </c:pt>
                <c:pt idx="162">
                  <c:v>25</c:v>
                </c:pt>
                <c:pt idx="163">
                  <c:v>29</c:v>
                </c:pt>
                <c:pt idx="164">
                  <c:v>10</c:v>
                </c:pt>
                <c:pt idx="165">
                  <c:v>20</c:v>
                </c:pt>
                <c:pt idx="166">
                  <c:v>6</c:v>
                </c:pt>
                <c:pt idx="167">
                  <c:v>7</c:v>
                </c:pt>
                <c:pt idx="168">
                  <c:v>1</c:v>
                </c:pt>
              </c:numCache>
            </c:numRef>
          </c:xVal>
          <c:yVal>
            <c:numRef>
              <c:f>empleo!$C$22:$C$190</c:f>
              <c:numCache>
                <c:formatCode>General</c:formatCode>
                <c:ptCount val="169"/>
                <c:pt idx="0">
                  <c:v>2</c:v>
                </c:pt>
                <c:pt idx="1">
                  <c:v>10</c:v>
                </c:pt>
                <c:pt idx="2">
                  <c:v>14</c:v>
                </c:pt>
                <c:pt idx="3">
                  <c:v>4</c:v>
                </c:pt>
                <c:pt idx="4">
                  <c:v>10</c:v>
                </c:pt>
                <c:pt idx="5">
                  <c:v>1</c:v>
                </c:pt>
                <c:pt idx="6">
                  <c:v>5</c:v>
                </c:pt>
                <c:pt idx="7">
                  <c:v>5</c:v>
                </c:pt>
                <c:pt idx="8">
                  <c:v>7</c:v>
                </c:pt>
                <c:pt idx="9">
                  <c:v>1</c:v>
                </c:pt>
                <c:pt idx="10">
                  <c:v>30</c:v>
                </c:pt>
                <c:pt idx="11">
                  <c:v>37</c:v>
                </c:pt>
                <c:pt idx="12">
                  <c:v>13</c:v>
                </c:pt>
                <c:pt idx="13">
                  <c:v>4</c:v>
                </c:pt>
                <c:pt idx="14">
                  <c:v>3</c:v>
                </c:pt>
                <c:pt idx="15">
                  <c:v>55</c:v>
                </c:pt>
                <c:pt idx="16">
                  <c:v>19</c:v>
                </c:pt>
                <c:pt idx="17">
                  <c:v>15</c:v>
                </c:pt>
                <c:pt idx="18">
                  <c:v>4</c:v>
                </c:pt>
                <c:pt idx="19">
                  <c:v>6</c:v>
                </c:pt>
                <c:pt idx="20">
                  <c:v>24</c:v>
                </c:pt>
                <c:pt idx="21">
                  <c:v>261</c:v>
                </c:pt>
                <c:pt idx="22">
                  <c:v>16</c:v>
                </c:pt>
                <c:pt idx="23">
                  <c:v>137</c:v>
                </c:pt>
                <c:pt idx="24">
                  <c:v>24</c:v>
                </c:pt>
                <c:pt idx="25">
                  <c:v>118</c:v>
                </c:pt>
                <c:pt idx="26">
                  <c:v>29</c:v>
                </c:pt>
                <c:pt idx="27">
                  <c:v>48</c:v>
                </c:pt>
                <c:pt idx="28">
                  <c:v>1</c:v>
                </c:pt>
                <c:pt idx="29">
                  <c:v>2</c:v>
                </c:pt>
                <c:pt idx="30">
                  <c:v>2</c:v>
                </c:pt>
                <c:pt idx="31">
                  <c:v>20</c:v>
                </c:pt>
                <c:pt idx="32">
                  <c:v>4</c:v>
                </c:pt>
                <c:pt idx="33">
                  <c:v>4</c:v>
                </c:pt>
                <c:pt idx="34">
                  <c:v>1</c:v>
                </c:pt>
                <c:pt idx="35">
                  <c:v>2</c:v>
                </c:pt>
                <c:pt idx="36">
                  <c:v>7</c:v>
                </c:pt>
                <c:pt idx="37">
                  <c:v>4</c:v>
                </c:pt>
                <c:pt idx="38">
                  <c:v>41</c:v>
                </c:pt>
                <c:pt idx="39">
                  <c:v>1</c:v>
                </c:pt>
                <c:pt idx="40">
                  <c:v>75</c:v>
                </c:pt>
                <c:pt idx="41">
                  <c:v>3</c:v>
                </c:pt>
                <c:pt idx="42">
                  <c:v>60</c:v>
                </c:pt>
                <c:pt idx="43">
                  <c:v>49</c:v>
                </c:pt>
                <c:pt idx="44">
                  <c:v>11</c:v>
                </c:pt>
                <c:pt idx="45">
                  <c:v>2</c:v>
                </c:pt>
                <c:pt idx="46">
                  <c:v>4</c:v>
                </c:pt>
                <c:pt idx="47">
                  <c:v>12</c:v>
                </c:pt>
                <c:pt idx="48">
                  <c:v>10</c:v>
                </c:pt>
                <c:pt idx="49">
                  <c:v>58</c:v>
                </c:pt>
                <c:pt idx="50">
                  <c:v>18</c:v>
                </c:pt>
                <c:pt idx="51">
                  <c:v>0</c:v>
                </c:pt>
                <c:pt idx="52">
                  <c:v>2</c:v>
                </c:pt>
                <c:pt idx="53">
                  <c:v>10</c:v>
                </c:pt>
                <c:pt idx="54">
                  <c:v>8</c:v>
                </c:pt>
                <c:pt idx="55">
                  <c:v>5</c:v>
                </c:pt>
                <c:pt idx="56">
                  <c:v>4</c:v>
                </c:pt>
                <c:pt idx="57">
                  <c:v>8</c:v>
                </c:pt>
                <c:pt idx="58">
                  <c:v>23</c:v>
                </c:pt>
                <c:pt idx="59">
                  <c:v>17</c:v>
                </c:pt>
                <c:pt idx="60">
                  <c:v>4</c:v>
                </c:pt>
                <c:pt idx="61">
                  <c:v>2</c:v>
                </c:pt>
                <c:pt idx="62">
                  <c:v>5</c:v>
                </c:pt>
                <c:pt idx="63">
                  <c:v>8</c:v>
                </c:pt>
                <c:pt idx="64">
                  <c:v>5</c:v>
                </c:pt>
                <c:pt idx="65">
                  <c:v>49</c:v>
                </c:pt>
                <c:pt idx="66">
                  <c:v>8</c:v>
                </c:pt>
                <c:pt idx="67">
                  <c:v>37</c:v>
                </c:pt>
                <c:pt idx="68">
                  <c:v>19</c:v>
                </c:pt>
                <c:pt idx="69">
                  <c:v>3</c:v>
                </c:pt>
                <c:pt idx="70">
                  <c:v>8</c:v>
                </c:pt>
                <c:pt idx="71">
                  <c:v>7</c:v>
                </c:pt>
                <c:pt idx="72">
                  <c:v>3</c:v>
                </c:pt>
                <c:pt idx="73">
                  <c:v>5</c:v>
                </c:pt>
                <c:pt idx="74">
                  <c:v>4</c:v>
                </c:pt>
                <c:pt idx="75">
                  <c:v>9</c:v>
                </c:pt>
                <c:pt idx="76">
                  <c:v>3</c:v>
                </c:pt>
                <c:pt idx="77">
                  <c:v>1</c:v>
                </c:pt>
                <c:pt idx="78">
                  <c:v>32</c:v>
                </c:pt>
                <c:pt idx="79">
                  <c:v>158</c:v>
                </c:pt>
                <c:pt idx="80">
                  <c:v>2</c:v>
                </c:pt>
                <c:pt idx="81">
                  <c:v>15</c:v>
                </c:pt>
                <c:pt idx="82">
                  <c:v>20</c:v>
                </c:pt>
                <c:pt idx="83">
                  <c:v>258</c:v>
                </c:pt>
                <c:pt idx="84">
                  <c:v>41</c:v>
                </c:pt>
                <c:pt idx="85">
                  <c:v>29</c:v>
                </c:pt>
                <c:pt idx="86">
                  <c:v>13</c:v>
                </c:pt>
                <c:pt idx="87">
                  <c:v>7</c:v>
                </c:pt>
                <c:pt idx="88">
                  <c:v>8</c:v>
                </c:pt>
                <c:pt idx="89">
                  <c:v>18</c:v>
                </c:pt>
                <c:pt idx="90">
                  <c:v>4</c:v>
                </c:pt>
                <c:pt idx="91">
                  <c:v>2</c:v>
                </c:pt>
                <c:pt idx="92">
                  <c:v>9</c:v>
                </c:pt>
                <c:pt idx="93">
                  <c:v>3</c:v>
                </c:pt>
                <c:pt idx="94">
                  <c:v>16</c:v>
                </c:pt>
                <c:pt idx="95">
                  <c:v>489</c:v>
                </c:pt>
                <c:pt idx="96">
                  <c:v>58</c:v>
                </c:pt>
                <c:pt idx="97">
                  <c:v>6</c:v>
                </c:pt>
                <c:pt idx="98">
                  <c:v>7</c:v>
                </c:pt>
                <c:pt idx="99">
                  <c:v>2</c:v>
                </c:pt>
                <c:pt idx="100">
                  <c:v>6</c:v>
                </c:pt>
                <c:pt idx="101">
                  <c:v>8</c:v>
                </c:pt>
                <c:pt idx="102">
                  <c:v>8</c:v>
                </c:pt>
                <c:pt idx="103">
                  <c:v>15</c:v>
                </c:pt>
                <c:pt idx="104">
                  <c:v>66</c:v>
                </c:pt>
                <c:pt idx="105">
                  <c:v>4</c:v>
                </c:pt>
                <c:pt idx="106">
                  <c:v>115</c:v>
                </c:pt>
                <c:pt idx="107">
                  <c:v>5</c:v>
                </c:pt>
                <c:pt idx="108">
                  <c:v>6</c:v>
                </c:pt>
                <c:pt idx="109">
                  <c:v>2</c:v>
                </c:pt>
                <c:pt idx="110">
                  <c:v>4</c:v>
                </c:pt>
                <c:pt idx="111">
                  <c:v>1</c:v>
                </c:pt>
                <c:pt idx="112">
                  <c:v>1</c:v>
                </c:pt>
                <c:pt idx="113">
                  <c:v>6</c:v>
                </c:pt>
                <c:pt idx="114">
                  <c:v>6</c:v>
                </c:pt>
                <c:pt idx="115">
                  <c:v>7</c:v>
                </c:pt>
                <c:pt idx="116">
                  <c:v>6</c:v>
                </c:pt>
                <c:pt idx="117">
                  <c:v>8</c:v>
                </c:pt>
                <c:pt idx="118">
                  <c:v>7</c:v>
                </c:pt>
                <c:pt idx="119">
                  <c:v>0</c:v>
                </c:pt>
                <c:pt idx="120">
                  <c:v>5</c:v>
                </c:pt>
                <c:pt idx="121">
                  <c:v>5</c:v>
                </c:pt>
                <c:pt idx="122">
                  <c:v>4</c:v>
                </c:pt>
                <c:pt idx="123">
                  <c:v>12</c:v>
                </c:pt>
                <c:pt idx="124">
                  <c:v>8</c:v>
                </c:pt>
                <c:pt idx="125">
                  <c:v>1</c:v>
                </c:pt>
                <c:pt idx="126">
                  <c:v>1</c:v>
                </c:pt>
                <c:pt idx="127">
                  <c:v>11</c:v>
                </c:pt>
                <c:pt idx="128">
                  <c:v>13</c:v>
                </c:pt>
                <c:pt idx="129">
                  <c:v>1</c:v>
                </c:pt>
                <c:pt idx="130">
                  <c:v>44</c:v>
                </c:pt>
                <c:pt idx="131">
                  <c:v>1</c:v>
                </c:pt>
                <c:pt idx="132">
                  <c:v>2</c:v>
                </c:pt>
                <c:pt idx="133">
                  <c:v>7</c:v>
                </c:pt>
                <c:pt idx="134">
                  <c:v>2</c:v>
                </c:pt>
                <c:pt idx="135">
                  <c:v>18</c:v>
                </c:pt>
                <c:pt idx="136">
                  <c:v>2</c:v>
                </c:pt>
                <c:pt idx="137">
                  <c:v>0</c:v>
                </c:pt>
                <c:pt idx="138">
                  <c:v>10</c:v>
                </c:pt>
                <c:pt idx="139">
                  <c:v>3</c:v>
                </c:pt>
                <c:pt idx="140">
                  <c:v>21</c:v>
                </c:pt>
                <c:pt idx="141">
                  <c:v>3</c:v>
                </c:pt>
                <c:pt idx="142">
                  <c:v>0</c:v>
                </c:pt>
                <c:pt idx="143">
                  <c:v>25</c:v>
                </c:pt>
                <c:pt idx="144">
                  <c:v>4</c:v>
                </c:pt>
                <c:pt idx="145">
                  <c:v>2</c:v>
                </c:pt>
                <c:pt idx="146">
                  <c:v>29</c:v>
                </c:pt>
                <c:pt idx="147">
                  <c:v>3</c:v>
                </c:pt>
                <c:pt idx="148">
                  <c:v>8</c:v>
                </c:pt>
                <c:pt idx="149">
                  <c:v>16</c:v>
                </c:pt>
                <c:pt idx="150">
                  <c:v>25</c:v>
                </c:pt>
                <c:pt idx="151">
                  <c:v>96</c:v>
                </c:pt>
                <c:pt idx="152">
                  <c:v>10</c:v>
                </c:pt>
                <c:pt idx="153">
                  <c:v>9</c:v>
                </c:pt>
                <c:pt idx="154">
                  <c:v>18</c:v>
                </c:pt>
                <c:pt idx="155">
                  <c:v>287</c:v>
                </c:pt>
                <c:pt idx="156">
                  <c:v>15</c:v>
                </c:pt>
                <c:pt idx="157">
                  <c:v>167</c:v>
                </c:pt>
                <c:pt idx="158">
                  <c:v>5</c:v>
                </c:pt>
                <c:pt idx="159">
                  <c:v>10</c:v>
                </c:pt>
                <c:pt idx="160">
                  <c:v>2</c:v>
                </c:pt>
                <c:pt idx="161">
                  <c:v>2</c:v>
                </c:pt>
                <c:pt idx="162">
                  <c:v>5</c:v>
                </c:pt>
                <c:pt idx="163">
                  <c:v>7</c:v>
                </c:pt>
                <c:pt idx="164">
                  <c:v>16</c:v>
                </c:pt>
                <c:pt idx="165">
                  <c:v>2</c:v>
                </c:pt>
                <c:pt idx="166">
                  <c:v>34</c:v>
                </c:pt>
                <c:pt idx="167">
                  <c:v>4</c:v>
                </c:pt>
                <c:pt idx="168">
                  <c:v>25</c:v>
                </c:pt>
              </c:numCache>
            </c:numRef>
          </c:yVal>
        </c:ser>
        <c:dLbls/>
        <c:axId val="155470464"/>
        <c:axId val="155493120"/>
      </c:scatterChart>
      <c:valAx>
        <c:axId val="155470464"/>
        <c:scaling>
          <c:orientation val="minMax"/>
        </c:scaling>
        <c:axPos val="b"/>
        <c:title>
          <c:tx>
            <c:rich>
              <a:bodyPr rot="0" vert="horz"/>
              <a:lstStyle/>
              <a:p>
                <a:pPr>
                  <a:defRPr sz="900">
                    <a:solidFill>
                      <a:srgbClr val="000000"/>
                    </a:solidFill>
                  </a:defRPr>
                </a:pPr>
                <a:r>
                  <a:rPr lang="es-ES" sz="900"/>
                  <a:t>Años</a:t>
                </a:r>
                <a:r>
                  <a:rPr lang="es-ES" sz="900" baseline="0"/>
                  <a:t> de actividad</a:t>
                </a:r>
                <a:endParaRPr lang="es-ES" sz="900"/>
              </a:p>
            </c:rich>
          </c:tx>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5493120"/>
        <c:crosses val="autoZero"/>
        <c:crossBetween val="midCat"/>
      </c:valAx>
      <c:valAx>
        <c:axId val="155493120"/>
        <c:scaling>
          <c:orientation val="minMax"/>
          <c:max val="200"/>
        </c:scaling>
        <c:axPos val="l"/>
        <c:title>
          <c:tx>
            <c:rich>
              <a:bodyPr rot="-5400000" vert="horz"/>
              <a:lstStyle/>
              <a:p>
                <a:pPr>
                  <a:defRPr sz="900">
                    <a:solidFill>
                      <a:srgbClr val="000000"/>
                    </a:solidFill>
                  </a:defRPr>
                </a:pPr>
                <a:r>
                  <a:rPr lang="es-ES" sz="900"/>
                  <a:t>Número</a:t>
                </a:r>
                <a:r>
                  <a:rPr lang="es-ES" sz="900" baseline="0"/>
                  <a:t> de empleados con discapacidad</a:t>
                </a:r>
                <a:endParaRPr lang="es-ES" sz="900"/>
              </a:p>
            </c:rich>
          </c:tx>
          <c:layout>
            <c:manualLayout>
              <c:xMode val="edge"/>
              <c:yMode val="edge"/>
              <c:x val="3.2850972861833513E-2"/>
              <c:y val="0.12927234275556684"/>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5470464"/>
        <c:crosses val="autoZero"/>
        <c:crossBetween val="midCat"/>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900" b="1">
                <a:solidFill>
                  <a:srgbClr val="00338D"/>
                </a:solidFill>
                <a:latin typeface="Arial"/>
                <a:ea typeface="Arial"/>
                <a:cs typeface="Arial"/>
              </a:defRPr>
            </a:pPr>
            <a:r>
              <a:rPr lang="es-ES" sz="900" dirty="0"/>
              <a:t>Correlación</a:t>
            </a:r>
            <a:r>
              <a:rPr lang="es-ES" sz="900" baseline="0" dirty="0"/>
              <a:t> entre antigüedad y </a:t>
            </a:r>
            <a:r>
              <a:rPr lang="es-ES" sz="900" baseline="0" dirty="0" smtClean="0"/>
              <a:t>proporción de PCD respecto al total de empleados</a:t>
            </a:r>
            <a:endParaRPr lang="es-ES" sz="900" baseline="0" dirty="0"/>
          </a:p>
        </c:rich>
      </c:tx>
      <c:layout>
        <c:manualLayout>
          <c:xMode val="edge"/>
          <c:yMode val="edge"/>
          <c:x val="0.18646102955980007"/>
          <c:y val="3.7647505397003816E-2"/>
        </c:manualLayout>
      </c:layout>
    </c:title>
    <c:plotArea>
      <c:layout>
        <c:manualLayout>
          <c:layoutTarget val="inner"/>
          <c:xMode val="edge"/>
          <c:yMode val="edge"/>
          <c:x val="0.14455309365399094"/>
          <c:y val="0.12544309234073092"/>
          <c:w val="0.77130399397749705"/>
          <c:h val="0.70854939155332863"/>
        </c:manualLayout>
      </c:layout>
      <c:scatterChart>
        <c:scatterStyle val="lineMarker"/>
        <c:ser>
          <c:idx val="0"/>
          <c:order val="0"/>
          <c:spPr>
            <a:ln w="28575">
              <a:noFill/>
            </a:ln>
          </c:spPr>
          <c:marker>
            <c:symbol val="diamond"/>
            <c:size val="5"/>
            <c:spPr>
              <a:solidFill>
                <a:srgbClr val="007C92"/>
              </a:solidFill>
              <a:ln>
                <a:solidFill>
                  <a:srgbClr val="007C92"/>
                </a:solidFill>
                <a:prstDash val="solid"/>
              </a:ln>
            </c:spPr>
          </c:marker>
          <c:dPt>
            <c:idx val="51"/>
            <c:marker>
              <c:symbol val="none"/>
            </c:marker>
          </c:dPt>
          <c:trendline>
            <c:trendlineType val="linear"/>
          </c:trendline>
          <c:xVal>
            <c:numRef>
              <c:f>empleo!$B$22:$B$190</c:f>
              <c:numCache>
                <c:formatCode>General</c:formatCode>
                <c:ptCount val="169"/>
                <c:pt idx="0">
                  <c:v>4</c:v>
                </c:pt>
                <c:pt idx="1">
                  <c:v>11</c:v>
                </c:pt>
                <c:pt idx="2">
                  <c:v>2</c:v>
                </c:pt>
                <c:pt idx="3">
                  <c:v>2</c:v>
                </c:pt>
                <c:pt idx="4">
                  <c:v>6</c:v>
                </c:pt>
                <c:pt idx="5">
                  <c:v>3</c:v>
                </c:pt>
                <c:pt idx="6">
                  <c:v>5</c:v>
                </c:pt>
                <c:pt idx="7">
                  <c:v>8</c:v>
                </c:pt>
                <c:pt idx="8">
                  <c:v>9</c:v>
                </c:pt>
                <c:pt idx="9">
                  <c:v>2</c:v>
                </c:pt>
                <c:pt idx="10">
                  <c:v>6</c:v>
                </c:pt>
                <c:pt idx="11">
                  <c:v>22</c:v>
                </c:pt>
                <c:pt idx="12">
                  <c:v>8</c:v>
                </c:pt>
                <c:pt idx="13">
                  <c:v>1</c:v>
                </c:pt>
                <c:pt idx="14">
                  <c:v>13</c:v>
                </c:pt>
                <c:pt idx="15">
                  <c:v>17</c:v>
                </c:pt>
                <c:pt idx="16">
                  <c:v>13</c:v>
                </c:pt>
                <c:pt idx="17">
                  <c:v>19</c:v>
                </c:pt>
                <c:pt idx="18">
                  <c:v>3</c:v>
                </c:pt>
                <c:pt idx="19">
                  <c:v>14</c:v>
                </c:pt>
                <c:pt idx="20">
                  <c:v>16</c:v>
                </c:pt>
                <c:pt idx="21">
                  <c:v>21</c:v>
                </c:pt>
                <c:pt idx="22">
                  <c:v>11</c:v>
                </c:pt>
                <c:pt idx="23">
                  <c:v>32</c:v>
                </c:pt>
                <c:pt idx="24">
                  <c:v>19</c:v>
                </c:pt>
                <c:pt idx="25">
                  <c:v>28</c:v>
                </c:pt>
                <c:pt idx="26">
                  <c:v>13</c:v>
                </c:pt>
                <c:pt idx="27">
                  <c:v>20</c:v>
                </c:pt>
                <c:pt idx="28">
                  <c:v>5</c:v>
                </c:pt>
                <c:pt idx="29">
                  <c:v>6</c:v>
                </c:pt>
                <c:pt idx="30">
                  <c:v>7</c:v>
                </c:pt>
                <c:pt idx="31">
                  <c:v>11</c:v>
                </c:pt>
                <c:pt idx="32">
                  <c:v>12</c:v>
                </c:pt>
                <c:pt idx="33">
                  <c:v>7</c:v>
                </c:pt>
                <c:pt idx="34">
                  <c:v>12</c:v>
                </c:pt>
                <c:pt idx="35">
                  <c:v>5</c:v>
                </c:pt>
                <c:pt idx="36">
                  <c:v>7</c:v>
                </c:pt>
                <c:pt idx="37">
                  <c:v>11</c:v>
                </c:pt>
                <c:pt idx="38">
                  <c:v>15</c:v>
                </c:pt>
                <c:pt idx="39">
                  <c:v>15</c:v>
                </c:pt>
                <c:pt idx="40">
                  <c:v>21</c:v>
                </c:pt>
                <c:pt idx="41">
                  <c:v>2</c:v>
                </c:pt>
                <c:pt idx="42">
                  <c:v>16</c:v>
                </c:pt>
                <c:pt idx="43">
                  <c:v>29</c:v>
                </c:pt>
                <c:pt idx="44">
                  <c:v>24</c:v>
                </c:pt>
                <c:pt idx="45">
                  <c:v>14</c:v>
                </c:pt>
                <c:pt idx="46">
                  <c:v>2</c:v>
                </c:pt>
                <c:pt idx="47">
                  <c:v>2</c:v>
                </c:pt>
                <c:pt idx="48">
                  <c:v>3</c:v>
                </c:pt>
                <c:pt idx="49">
                  <c:v>12</c:v>
                </c:pt>
                <c:pt idx="50">
                  <c:v>2</c:v>
                </c:pt>
                <c:pt idx="51">
                  <c:v>3</c:v>
                </c:pt>
                <c:pt idx="52">
                  <c:v>6</c:v>
                </c:pt>
                <c:pt idx="53">
                  <c:v>10</c:v>
                </c:pt>
                <c:pt idx="54">
                  <c:v>12</c:v>
                </c:pt>
                <c:pt idx="55">
                  <c:v>28</c:v>
                </c:pt>
                <c:pt idx="56">
                  <c:v>14</c:v>
                </c:pt>
                <c:pt idx="57">
                  <c:v>10</c:v>
                </c:pt>
                <c:pt idx="58">
                  <c:v>20</c:v>
                </c:pt>
                <c:pt idx="59">
                  <c:v>11</c:v>
                </c:pt>
                <c:pt idx="60">
                  <c:v>10</c:v>
                </c:pt>
                <c:pt idx="61">
                  <c:v>9</c:v>
                </c:pt>
                <c:pt idx="62">
                  <c:v>3</c:v>
                </c:pt>
                <c:pt idx="63">
                  <c:v>3</c:v>
                </c:pt>
                <c:pt idx="64">
                  <c:v>11</c:v>
                </c:pt>
                <c:pt idx="65">
                  <c:v>10</c:v>
                </c:pt>
                <c:pt idx="66">
                  <c:v>18</c:v>
                </c:pt>
                <c:pt idx="67">
                  <c:v>4</c:v>
                </c:pt>
                <c:pt idx="68">
                  <c:v>5</c:v>
                </c:pt>
                <c:pt idx="69">
                  <c:v>9</c:v>
                </c:pt>
                <c:pt idx="70">
                  <c:v>5</c:v>
                </c:pt>
                <c:pt idx="71">
                  <c:v>2</c:v>
                </c:pt>
                <c:pt idx="72">
                  <c:v>3</c:v>
                </c:pt>
                <c:pt idx="73">
                  <c:v>9</c:v>
                </c:pt>
                <c:pt idx="74">
                  <c:v>4</c:v>
                </c:pt>
                <c:pt idx="75">
                  <c:v>2</c:v>
                </c:pt>
                <c:pt idx="76">
                  <c:v>8</c:v>
                </c:pt>
                <c:pt idx="77">
                  <c:v>4</c:v>
                </c:pt>
                <c:pt idx="78">
                  <c:v>13</c:v>
                </c:pt>
                <c:pt idx="79">
                  <c:v>4</c:v>
                </c:pt>
                <c:pt idx="80">
                  <c:v>13</c:v>
                </c:pt>
                <c:pt idx="81">
                  <c:v>4</c:v>
                </c:pt>
                <c:pt idx="82">
                  <c:v>9</c:v>
                </c:pt>
                <c:pt idx="83">
                  <c:v>17</c:v>
                </c:pt>
                <c:pt idx="84">
                  <c:v>5</c:v>
                </c:pt>
                <c:pt idx="85">
                  <c:v>27</c:v>
                </c:pt>
                <c:pt idx="86">
                  <c:v>15</c:v>
                </c:pt>
                <c:pt idx="87">
                  <c:v>8</c:v>
                </c:pt>
                <c:pt idx="88">
                  <c:v>7</c:v>
                </c:pt>
                <c:pt idx="89">
                  <c:v>13</c:v>
                </c:pt>
                <c:pt idx="90">
                  <c:v>19</c:v>
                </c:pt>
                <c:pt idx="91">
                  <c:v>4</c:v>
                </c:pt>
                <c:pt idx="92">
                  <c:v>3</c:v>
                </c:pt>
                <c:pt idx="93">
                  <c:v>3</c:v>
                </c:pt>
                <c:pt idx="94">
                  <c:v>8</c:v>
                </c:pt>
                <c:pt idx="95">
                  <c:v>13</c:v>
                </c:pt>
                <c:pt idx="96">
                  <c:v>9</c:v>
                </c:pt>
                <c:pt idx="97">
                  <c:v>5</c:v>
                </c:pt>
                <c:pt idx="98">
                  <c:v>8</c:v>
                </c:pt>
                <c:pt idx="99">
                  <c:v>7</c:v>
                </c:pt>
                <c:pt idx="100">
                  <c:v>9</c:v>
                </c:pt>
                <c:pt idx="101">
                  <c:v>4</c:v>
                </c:pt>
                <c:pt idx="102">
                  <c:v>10</c:v>
                </c:pt>
                <c:pt idx="103">
                  <c:v>5</c:v>
                </c:pt>
                <c:pt idx="104">
                  <c:v>12</c:v>
                </c:pt>
                <c:pt idx="105">
                  <c:v>5</c:v>
                </c:pt>
                <c:pt idx="106">
                  <c:v>5</c:v>
                </c:pt>
                <c:pt idx="107">
                  <c:v>1</c:v>
                </c:pt>
                <c:pt idx="108">
                  <c:v>29</c:v>
                </c:pt>
                <c:pt idx="109">
                  <c:v>15</c:v>
                </c:pt>
                <c:pt idx="110">
                  <c:v>9</c:v>
                </c:pt>
                <c:pt idx="111">
                  <c:v>4</c:v>
                </c:pt>
                <c:pt idx="112">
                  <c:v>17</c:v>
                </c:pt>
                <c:pt idx="113">
                  <c:v>19</c:v>
                </c:pt>
                <c:pt idx="114">
                  <c:v>9</c:v>
                </c:pt>
                <c:pt idx="115">
                  <c:v>14</c:v>
                </c:pt>
                <c:pt idx="116">
                  <c:v>15</c:v>
                </c:pt>
                <c:pt idx="117">
                  <c:v>11</c:v>
                </c:pt>
                <c:pt idx="118">
                  <c:v>3</c:v>
                </c:pt>
                <c:pt idx="119">
                  <c:v>8</c:v>
                </c:pt>
                <c:pt idx="120">
                  <c:v>7</c:v>
                </c:pt>
                <c:pt idx="121">
                  <c:v>12</c:v>
                </c:pt>
                <c:pt idx="122">
                  <c:v>13</c:v>
                </c:pt>
                <c:pt idx="123">
                  <c:v>21</c:v>
                </c:pt>
                <c:pt idx="124">
                  <c:v>3</c:v>
                </c:pt>
                <c:pt idx="125">
                  <c:v>7</c:v>
                </c:pt>
                <c:pt idx="126">
                  <c:v>10</c:v>
                </c:pt>
                <c:pt idx="127">
                  <c:v>14</c:v>
                </c:pt>
                <c:pt idx="128">
                  <c:v>7</c:v>
                </c:pt>
                <c:pt idx="129">
                  <c:v>2</c:v>
                </c:pt>
                <c:pt idx="130">
                  <c:v>21</c:v>
                </c:pt>
                <c:pt idx="131">
                  <c:v>3</c:v>
                </c:pt>
                <c:pt idx="132">
                  <c:v>7</c:v>
                </c:pt>
                <c:pt idx="133">
                  <c:v>5</c:v>
                </c:pt>
                <c:pt idx="134">
                  <c:v>7</c:v>
                </c:pt>
                <c:pt idx="135">
                  <c:v>20</c:v>
                </c:pt>
                <c:pt idx="136">
                  <c:v>13</c:v>
                </c:pt>
                <c:pt idx="137">
                  <c:v>25</c:v>
                </c:pt>
                <c:pt idx="138">
                  <c:v>20</c:v>
                </c:pt>
                <c:pt idx="139">
                  <c:v>7</c:v>
                </c:pt>
                <c:pt idx="140">
                  <c:v>13</c:v>
                </c:pt>
                <c:pt idx="141">
                  <c:v>3</c:v>
                </c:pt>
                <c:pt idx="142">
                  <c:v>3</c:v>
                </c:pt>
                <c:pt idx="143">
                  <c:v>7</c:v>
                </c:pt>
                <c:pt idx="144">
                  <c:v>16</c:v>
                </c:pt>
                <c:pt idx="145">
                  <c:v>2</c:v>
                </c:pt>
                <c:pt idx="146">
                  <c:v>8</c:v>
                </c:pt>
                <c:pt idx="147">
                  <c:v>16</c:v>
                </c:pt>
                <c:pt idx="148">
                  <c:v>3</c:v>
                </c:pt>
                <c:pt idx="149">
                  <c:v>3</c:v>
                </c:pt>
                <c:pt idx="150">
                  <c:v>5</c:v>
                </c:pt>
                <c:pt idx="151">
                  <c:v>10</c:v>
                </c:pt>
                <c:pt idx="152">
                  <c:v>13</c:v>
                </c:pt>
                <c:pt idx="153">
                  <c:v>16</c:v>
                </c:pt>
                <c:pt idx="154">
                  <c:v>12</c:v>
                </c:pt>
                <c:pt idx="155">
                  <c:v>17</c:v>
                </c:pt>
                <c:pt idx="156">
                  <c:v>6</c:v>
                </c:pt>
                <c:pt idx="157">
                  <c:v>13</c:v>
                </c:pt>
                <c:pt idx="158">
                  <c:v>3</c:v>
                </c:pt>
                <c:pt idx="159">
                  <c:v>24</c:v>
                </c:pt>
                <c:pt idx="160">
                  <c:v>1</c:v>
                </c:pt>
                <c:pt idx="161">
                  <c:v>28</c:v>
                </c:pt>
                <c:pt idx="162">
                  <c:v>25</c:v>
                </c:pt>
                <c:pt idx="163">
                  <c:v>29</c:v>
                </c:pt>
                <c:pt idx="164">
                  <c:v>10</c:v>
                </c:pt>
                <c:pt idx="165">
                  <c:v>20</c:v>
                </c:pt>
                <c:pt idx="166">
                  <c:v>6</c:v>
                </c:pt>
                <c:pt idx="167">
                  <c:v>7</c:v>
                </c:pt>
                <c:pt idx="168">
                  <c:v>1</c:v>
                </c:pt>
              </c:numCache>
            </c:numRef>
          </c:xVal>
          <c:yVal>
            <c:numRef>
              <c:f>empleo!$D$22:$D$190</c:f>
              <c:numCache>
                <c:formatCode>General</c:formatCode>
                <c:ptCount val="169"/>
                <c:pt idx="0">
                  <c:v>1</c:v>
                </c:pt>
                <c:pt idx="1">
                  <c:v>0.71428571428571463</c:v>
                </c:pt>
                <c:pt idx="2">
                  <c:v>0.87500000000000144</c:v>
                </c:pt>
                <c:pt idx="3">
                  <c:v>1</c:v>
                </c:pt>
                <c:pt idx="4">
                  <c:v>0.90909090909090906</c:v>
                </c:pt>
                <c:pt idx="5">
                  <c:v>1</c:v>
                </c:pt>
                <c:pt idx="6">
                  <c:v>1</c:v>
                </c:pt>
                <c:pt idx="7">
                  <c:v>1</c:v>
                </c:pt>
                <c:pt idx="8">
                  <c:v>1</c:v>
                </c:pt>
                <c:pt idx="9">
                  <c:v>1</c:v>
                </c:pt>
                <c:pt idx="10">
                  <c:v>0.9375</c:v>
                </c:pt>
                <c:pt idx="11">
                  <c:v>0.88095238095237893</c:v>
                </c:pt>
                <c:pt idx="12">
                  <c:v>1</c:v>
                </c:pt>
                <c:pt idx="13">
                  <c:v>1</c:v>
                </c:pt>
                <c:pt idx="14">
                  <c:v>1</c:v>
                </c:pt>
                <c:pt idx="15">
                  <c:v>0.8870967741935486</c:v>
                </c:pt>
                <c:pt idx="16">
                  <c:v>0.90476190476190343</c:v>
                </c:pt>
                <c:pt idx="17">
                  <c:v>0.88235294117647056</c:v>
                </c:pt>
                <c:pt idx="18">
                  <c:v>0.8</c:v>
                </c:pt>
                <c:pt idx="19">
                  <c:v>1</c:v>
                </c:pt>
                <c:pt idx="20">
                  <c:v>1</c:v>
                </c:pt>
                <c:pt idx="21">
                  <c:v>0.8613861386138616</c:v>
                </c:pt>
                <c:pt idx="22">
                  <c:v>0.84210526315789624</c:v>
                </c:pt>
                <c:pt idx="23">
                  <c:v>0.88387096774193397</c:v>
                </c:pt>
                <c:pt idx="24">
                  <c:v>0.92307692307692257</c:v>
                </c:pt>
                <c:pt idx="25">
                  <c:v>0.92913385826771655</c:v>
                </c:pt>
                <c:pt idx="26">
                  <c:v>0.87878787878788023</c:v>
                </c:pt>
                <c:pt idx="27">
                  <c:v>0.94117647058823561</c:v>
                </c:pt>
                <c:pt idx="28">
                  <c:v>1</c:v>
                </c:pt>
                <c:pt idx="29">
                  <c:v>1</c:v>
                </c:pt>
                <c:pt idx="30">
                  <c:v>1</c:v>
                </c:pt>
                <c:pt idx="31">
                  <c:v>0.95238095238095233</c:v>
                </c:pt>
                <c:pt idx="32">
                  <c:v>0.8</c:v>
                </c:pt>
                <c:pt idx="33">
                  <c:v>1</c:v>
                </c:pt>
                <c:pt idx="34">
                  <c:v>1</c:v>
                </c:pt>
                <c:pt idx="35">
                  <c:v>1</c:v>
                </c:pt>
                <c:pt idx="36">
                  <c:v>1</c:v>
                </c:pt>
                <c:pt idx="37">
                  <c:v>1</c:v>
                </c:pt>
                <c:pt idx="38">
                  <c:v>0.77358490566037763</c:v>
                </c:pt>
                <c:pt idx="39">
                  <c:v>1</c:v>
                </c:pt>
                <c:pt idx="40">
                  <c:v>0.9375</c:v>
                </c:pt>
                <c:pt idx="41">
                  <c:v>0.75000000000000144</c:v>
                </c:pt>
                <c:pt idx="42">
                  <c:v>0.98360655737704916</c:v>
                </c:pt>
                <c:pt idx="43">
                  <c:v>0.89090909090909165</c:v>
                </c:pt>
                <c:pt idx="44">
                  <c:v>0.84615384615384792</c:v>
                </c:pt>
                <c:pt idx="45">
                  <c:v>1</c:v>
                </c:pt>
                <c:pt idx="46">
                  <c:v>1</c:v>
                </c:pt>
                <c:pt idx="47">
                  <c:v>1</c:v>
                </c:pt>
                <c:pt idx="48">
                  <c:v>1</c:v>
                </c:pt>
                <c:pt idx="49">
                  <c:v>1</c:v>
                </c:pt>
                <c:pt idx="50">
                  <c:v>0.81818181818181979</c:v>
                </c:pt>
                <c:pt idx="52">
                  <c:v>0.5</c:v>
                </c:pt>
                <c:pt idx="53">
                  <c:v>0.90909090909090906</c:v>
                </c:pt>
                <c:pt idx="54">
                  <c:v>0.72727272727272729</c:v>
                </c:pt>
                <c:pt idx="55">
                  <c:v>0.8333333333333337</c:v>
                </c:pt>
                <c:pt idx="56">
                  <c:v>1</c:v>
                </c:pt>
                <c:pt idx="57">
                  <c:v>1</c:v>
                </c:pt>
                <c:pt idx="58">
                  <c:v>1</c:v>
                </c:pt>
                <c:pt idx="59">
                  <c:v>0.89473684210526316</c:v>
                </c:pt>
                <c:pt idx="60">
                  <c:v>1</c:v>
                </c:pt>
                <c:pt idx="61">
                  <c:v>1</c:v>
                </c:pt>
                <c:pt idx="62">
                  <c:v>1</c:v>
                </c:pt>
                <c:pt idx="63">
                  <c:v>1</c:v>
                </c:pt>
                <c:pt idx="64">
                  <c:v>0.8333333333333337</c:v>
                </c:pt>
                <c:pt idx="65">
                  <c:v>0.94230769230769262</c:v>
                </c:pt>
                <c:pt idx="66">
                  <c:v>1</c:v>
                </c:pt>
                <c:pt idx="67">
                  <c:v>0.94871794871794635</c:v>
                </c:pt>
                <c:pt idx="68">
                  <c:v>1</c:v>
                </c:pt>
                <c:pt idx="69">
                  <c:v>1</c:v>
                </c:pt>
                <c:pt idx="70">
                  <c:v>0.88888888888888884</c:v>
                </c:pt>
                <c:pt idx="71">
                  <c:v>1</c:v>
                </c:pt>
                <c:pt idx="72">
                  <c:v>0.75000000000000144</c:v>
                </c:pt>
                <c:pt idx="73">
                  <c:v>0.8333333333333337</c:v>
                </c:pt>
                <c:pt idx="74">
                  <c:v>1</c:v>
                </c:pt>
                <c:pt idx="75">
                  <c:v>0.75000000000000144</c:v>
                </c:pt>
                <c:pt idx="76">
                  <c:v>1</c:v>
                </c:pt>
                <c:pt idx="77">
                  <c:v>1</c:v>
                </c:pt>
                <c:pt idx="78">
                  <c:v>0.9142857142857147</c:v>
                </c:pt>
                <c:pt idx="79">
                  <c:v>0.9518072289156625</c:v>
                </c:pt>
                <c:pt idx="80">
                  <c:v>1</c:v>
                </c:pt>
                <c:pt idx="81">
                  <c:v>1</c:v>
                </c:pt>
                <c:pt idx="82">
                  <c:v>0.90909090909090906</c:v>
                </c:pt>
                <c:pt idx="83">
                  <c:v>0.92473118279569888</c:v>
                </c:pt>
                <c:pt idx="84">
                  <c:v>0.89130434782608658</c:v>
                </c:pt>
                <c:pt idx="85">
                  <c:v>0.87878787878788023</c:v>
                </c:pt>
                <c:pt idx="86">
                  <c:v>0.8666666666666667</c:v>
                </c:pt>
                <c:pt idx="87">
                  <c:v>1</c:v>
                </c:pt>
                <c:pt idx="88">
                  <c:v>1</c:v>
                </c:pt>
                <c:pt idx="89">
                  <c:v>0.78260869565217595</c:v>
                </c:pt>
                <c:pt idx="90">
                  <c:v>0.8</c:v>
                </c:pt>
                <c:pt idx="91">
                  <c:v>0.66666666666666663</c:v>
                </c:pt>
                <c:pt idx="92">
                  <c:v>0.81818181818181979</c:v>
                </c:pt>
                <c:pt idx="93">
                  <c:v>0.75000000000000144</c:v>
                </c:pt>
                <c:pt idx="94">
                  <c:v>0.8</c:v>
                </c:pt>
                <c:pt idx="95">
                  <c:v>0.89396709323583179</c:v>
                </c:pt>
                <c:pt idx="96">
                  <c:v>0.7945205479452041</c:v>
                </c:pt>
                <c:pt idx="97">
                  <c:v>0.85714285714285765</c:v>
                </c:pt>
                <c:pt idx="98">
                  <c:v>1</c:v>
                </c:pt>
                <c:pt idx="99">
                  <c:v>1</c:v>
                </c:pt>
                <c:pt idx="100">
                  <c:v>1</c:v>
                </c:pt>
                <c:pt idx="101">
                  <c:v>1</c:v>
                </c:pt>
                <c:pt idx="102">
                  <c:v>0.88888888888888884</c:v>
                </c:pt>
                <c:pt idx="103">
                  <c:v>1</c:v>
                </c:pt>
                <c:pt idx="104">
                  <c:v>0.85714285714285765</c:v>
                </c:pt>
                <c:pt idx="105">
                  <c:v>1</c:v>
                </c:pt>
                <c:pt idx="106">
                  <c:v>0.82142857142857328</c:v>
                </c:pt>
                <c:pt idx="107">
                  <c:v>0.8333333333333337</c:v>
                </c:pt>
                <c:pt idx="108">
                  <c:v>1</c:v>
                </c:pt>
                <c:pt idx="109">
                  <c:v>1</c:v>
                </c:pt>
                <c:pt idx="110">
                  <c:v>1</c:v>
                </c:pt>
                <c:pt idx="111">
                  <c:v>1</c:v>
                </c:pt>
                <c:pt idx="112">
                  <c:v>1</c:v>
                </c:pt>
                <c:pt idx="113">
                  <c:v>1</c:v>
                </c:pt>
                <c:pt idx="114">
                  <c:v>1</c:v>
                </c:pt>
                <c:pt idx="115">
                  <c:v>0.87500000000000144</c:v>
                </c:pt>
                <c:pt idx="116">
                  <c:v>0.75000000000000144</c:v>
                </c:pt>
                <c:pt idx="117">
                  <c:v>0.88888888888888884</c:v>
                </c:pt>
                <c:pt idx="118">
                  <c:v>1</c:v>
                </c:pt>
                <c:pt idx="120">
                  <c:v>1</c:v>
                </c:pt>
                <c:pt idx="121">
                  <c:v>1</c:v>
                </c:pt>
                <c:pt idx="122">
                  <c:v>0.8</c:v>
                </c:pt>
                <c:pt idx="123">
                  <c:v>0.70588235294117663</c:v>
                </c:pt>
                <c:pt idx="124">
                  <c:v>0.88888888888888884</c:v>
                </c:pt>
                <c:pt idx="125">
                  <c:v>1</c:v>
                </c:pt>
                <c:pt idx="126">
                  <c:v>1</c:v>
                </c:pt>
                <c:pt idx="127">
                  <c:v>0.91666666666666652</c:v>
                </c:pt>
                <c:pt idx="128">
                  <c:v>1</c:v>
                </c:pt>
                <c:pt idx="129">
                  <c:v>1</c:v>
                </c:pt>
                <c:pt idx="130">
                  <c:v>0.88</c:v>
                </c:pt>
                <c:pt idx="131">
                  <c:v>1</c:v>
                </c:pt>
                <c:pt idx="132">
                  <c:v>1</c:v>
                </c:pt>
                <c:pt idx="133">
                  <c:v>1</c:v>
                </c:pt>
                <c:pt idx="134">
                  <c:v>1</c:v>
                </c:pt>
                <c:pt idx="135">
                  <c:v>0.81818181818181979</c:v>
                </c:pt>
                <c:pt idx="136">
                  <c:v>1</c:v>
                </c:pt>
                <c:pt idx="138">
                  <c:v>0.71428571428571463</c:v>
                </c:pt>
                <c:pt idx="139">
                  <c:v>1</c:v>
                </c:pt>
                <c:pt idx="140">
                  <c:v>0.91304347826086962</c:v>
                </c:pt>
                <c:pt idx="141">
                  <c:v>1</c:v>
                </c:pt>
                <c:pt idx="143">
                  <c:v>0.86206896551723999</c:v>
                </c:pt>
                <c:pt idx="144">
                  <c:v>0.66666666666666663</c:v>
                </c:pt>
                <c:pt idx="145">
                  <c:v>0.66666666666666663</c:v>
                </c:pt>
                <c:pt idx="146">
                  <c:v>0.90625</c:v>
                </c:pt>
                <c:pt idx="147">
                  <c:v>0.75000000000000144</c:v>
                </c:pt>
                <c:pt idx="148">
                  <c:v>1</c:v>
                </c:pt>
                <c:pt idx="149">
                  <c:v>1</c:v>
                </c:pt>
                <c:pt idx="150">
                  <c:v>0.96153846153846168</c:v>
                </c:pt>
                <c:pt idx="151">
                  <c:v>0.98969072164948613</c:v>
                </c:pt>
                <c:pt idx="152">
                  <c:v>0.8333333333333337</c:v>
                </c:pt>
                <c:pt idx="153">
                  <c:v>0.81818181818181979</c:v>
                </c:pt>
                <c:pt idx="154">
                  <c:v>0.94736842105263008</c:v>
                </c:pt>
                <c:pt idx="155">
                  <c:v>0.74160206718346389</c:v>
                </c:pt>
                <c:pt idx="156">
                  <c:v>0.78947368421052633</c:v>
                </c:pt>
                <c:pt idx="157">
                  <c:v>0.90760869565217595</c:v>
                </c:pt>
                <c:pt idx="158">
                  <c:v>1</c:v>
                </c:pt>
                <c:pt idx="159">
                  <c:v>0.90909090909090906</c:v>
                </c:pt>
                <c:pt idx="160">
                  <c:v>0.66666666666666663</c:v>
                </c:pt>
                <c:pt idx="161">
                  <c:v>0.5</c:v>
                </c:pt>
                <c:pt idx="162">
                  <c:v>0.8333333333333337</c:v>
                </c:pt>
                <c:pt idx="163">
                  <c:v>0.77777777777777923</c:v>
                </c:pt>
                <c:pt idx="164">
                  <c:v>0.88888888888888884</c:v>
                </c:pt>
                <c:pt idx="165">
                  <c:v>0.66666666666666663</c:v>
                </c:pt>
                <c:pt idx="166">
                  <c:v>0.94444444444444464</c:v>
                </c:pt>
                <c:pt idx="167">
                  <c:v>0.8</c:v>
                </c:pt>
                <c:pt idx="168">
                  <c:v>0.86206896551723999</c:v>
                </c:pt>
              </c:numCache>
            </c:numRef>
          </c:yVal>
        </c:ser>
        <c:dLbls/>
        <c:axId val="155534464"/>
        <c:axId val="155536384"/>
      </c:scatterChart>
      <c:valAx>
        <c:axId val="155534464"/>
        <c:scaling>
          <c:orientation val="minMax"/>
        </c:scaling>
        <c:axPos val="b"/>
        <c:title>
          <c:tx>
            <c:rich>
              <a:bodyPr rot="0" vert="horz"/>
              <a:lstStyle/>
              <a:p>
                <a:pPr>
                  <a:defRPr sz="900">
                    <a:solidFill>
                      <a:srgbClr val="000000"/>
                    </a:solidFill>
                  </a:defRPr>
                </a:pPr>
                <a:r>
                  <a:rPr lang="es-ES" sz="900"/>
                  <a:t>Años de actividad</a:t>
                </a:r>
              </a:p>
            </c:rich>
          </c:tx>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5536384"/>
        <c:crosses val="autoZero"/>
        <c:crossBetween val="midCat"/>
      </c:valAx>
      <c:valAx>
        <c:axId val="155536384"/>
        <c:scaling>
          <c:orientation val="minMax"/>
        </c:scaling>
        <c:axPos val="l"/>
        <c:title>
          <c:tx>
            <c:rich>
              <a:bodyPr rot="-5400000" vert="horz"/>
              <a:lstStyle/>
              <a:p>
                <a:pPr>
                  <a:defRPr sz="900">
                    <a:solidFill>
                      <a:srgbClr val="000000"/>
                    </a:solidFill>
                  </a:defRPr>
                </a:pPr>
                <a:r>
                  <a:rPr lang="es-ES" sz="900" dirty="0"/>
                  <a:t>Ratio entre empleados con discapacidad y empleados </a:t>
                </a:r>
                <a:r>
                  <a:rPr lang="es-ES" sz="900" dirty="0" smtClean="0"/>
                  <a:t>totales</a:t>
                </a:r>
                <a:endParaRPr lang="es-ES" sz="900" dirty="0"/>
              </a:p>
            </c:rich>
          </c:tx>
          <c:layout>
            <c:manualLayout>
              <c:xMode val="edge"/>
              <c:yMode val="edge"/>
              <c:x val="1.8634153288978491E-2"/>
              <c:y val="0.11185419869853505"/>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5534464"/>
        <c:crosses val="autoZero"/>
        <c:crossBetween val="midCat"/>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
              <a:t>Distribución del</a:t>
            </a:r>
            <a:r>
              <a:rPr lang="es-ES" baseline="0"/>
              <a:t> número de </a:t>
            </a:r>
            <a:r>
              <a:rPr lang="es-ES"/>
              <a:t>años de actividad de los CEE</a:t>
            </a:r>
          </a:p>
        </c:rich>
      </c:tx>
      <c:layout>
        <c:manualLayout>
          <c:xMode val="edge"/>
          <c:yMode val="edge"/>
          <c:x val="0.15958625626342168"/>
          <c:y val="3.1453621488803277E-2"/>
        </c:manualLayout>
      </c:layout>
      <c:spPr>
        <a:noFill/>
        <a:ln>
          <a:noFill/>
        </a:ln>
        <a:effectLst/>
      </c:spPr>
    </c:title>
    <c:plotArea>
      <c:layout>
        <c:manualLayout>
          <c:layoutTarget val="inner"/>
          <c:xMode val="edge"/>
          <c:yMode val="edge"/>
          <c:x val="0.11794510686164229"/>
          <c:y val="0.15212491052254831"/>
          <c:w val="0.83348346456692912"/>
          <c:h val="0.73304939155332871"/>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Histogramas!$CH$3:$CH$7</c:f>
              <c:strCache>
                <c:ptCount val="5"/>
                <c:pt idx="0">
                  <c:v>0-5</c:v>
                </c:pt>
                <c:pt idx="1">
                  <c:v>5-10</c:v>
                </c:pt>
                <c:pt idx="2">
                  <c:v>10-15</c:v>
                </c:pt>
                <c:pt idx="3">
                  <c:v>15-20</c:v>
                </c:pt>
                <c:pt idx="4">
                  <c:v>&gt;20</c:v>
                </c:pt>
              </c:strCache>
            </c:strRef>
          </c:cat>
          <c:val>
            <c:numRef>
              <c:f>Histogramas!$CI$3:$CI$7</c:f>
              <c:numCache>
                <c:formatCode>General</c:formatCode>
                <c:ptCount val="5"/>
                <c:pt idx="0">
                  <c:v>53</c:v>
                </c:pt>
                <c:pt idx="1">
                  <c:v>44</c:v>
                </c:pt>
                <c:pt idx="2">
                  <c:v>36</c:v>
                </c:pt>
                <c:pt idx="3">
                  <c:v>19</c:v>
                </c:pt>
                <c:pt idx="4">
                  <c:v>17</c:v>
                </c:pt>
              </c:numCache>
            </c:numRef>
          </c:val>
        </c:ser>
        <c:dLbls>
          <c:showVal val="1"/>
        </c:dLbls>
        <c:gapWidth val="40"/>
        <c:axId val="155582464"/>
        <c:axId val="155584000"/>
      </c:barChart>
      <c:catAx>
        <c:axId val="155582464"/>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55584000"/>
        <c:crosses val="autoZero"/>
        <c:auto val="1"/>
        <c:lblAlgn val="ctr"/>
        <c:lblOffset val="100"/>
      </c:catAx>
      <c:valAx>
        <c:axId val="155584000"/>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2.5714285714285714E-2"/>
              <c:y val="0.3204108804581246"/>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55582464"/>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1100" b="1">
                <a:solidFill>
                  <a:srgbClr val="00338D"/>
                </a:solidFill>
                <a:latin typeface="Arial"/>
                <a:ea typeface="Arial"/>
                <a:cs typeface="Arial"/>
              </a:defRPr>
            </a:pPr>
            <a:r>
              <a:rPr lang="es-ES" sz="900"/>
              <a:t>Correlación entre ratio de empleo de PCD y rentabilidad de los CEEs</a:t>
            </a:r>
          </a:p>
        </c:rich>
      </c:tx>
      <c:layout>
        <c:manualLayout>
          <c:xMode val="edge"/>
          <c:yMode val="edge"/>
          <c:x val="0.12941368507440479"/>
          <c:y val="4.7624856752060775E-2"/>
        </c:manualLayout>
      </c:layout>
    </c:title>
    <c:plotArea>
      <c:layout>
        <c:manualLayout>
          <c:layoutTarget val="inner"/>
          <c:xMode val="edge"/>
          <c:yMode val="edge"/>
          <c:x val="9.6667596145760759E-2"/>
          <c:y val="0.15766002463977716"/>
          <c:w val="0.82308029371539371"/>
          <c:h val="0.6943852352962927"/>
        </c:manualLayout>
      </c:layout>
      <c:scatterChart>
        <c:scatterStyle val="lineMarker"/>
        <c:ser>
          <c:idx val="0"/>
          <c:order val="0"/>
          <c:spPr>
            <a:ln w="28575">
              <a:noFill/>
            </a:ln>
          </c:spPr>
          <c:marker>
            <c:symbol val="diamond"/>
            <c:size val="2"/>
            <c:spPr>
              <a:solidFill>
                <a:srgbClr val="007C92"/>
              </a:solidFill>
              <a:ln>
                <a:solidFill>
                  <a:srgbClr val="007C92"/>
                </a:solidFill>
                <a:prstDash val="solid"/>
              </a:ln>
            </c:spPr>
          </c:marker>
          <c:trendline>
            <c:trendlineType val="linear"/>
          </c:trendline>
          <c:xVal>
            <c:numRef>
              <c:f>empleo!$D$207:$D$368</c:f>
              <c:numCache>
                <c:formatCode>General</c:formatCode>
                <c:ptCount val="162"/>
                <c:pt idx="0">
                  <c:v>0.5</c:v>
                </c:pt>
                <c:pt idx="1">
                  <c:v>0.71428571428571463</c:v>
                </c:pt>
                <c:pt idx="2">
                  <c:v>1</c:v>
                </c:pt>
                <c:pt idx="3">
                  <c:v>1</c:v>
                </c:pt>
                <c:pt idx="4">
                  <c:v>0.90909090909090906</c:v>
                </c:pt>
                <c:pt idx="5">
                  <c:v>1</c:v>
                </c:pt>
                <c:pt idx="6">
                  <c:v>1</c:v>
                </c:pt>
                <c:pt idx="7">
                  <c:v>1</c:v>
                </c:pt>
                <c:pt idx="8">
                  <c:v>1</c:v>
                </c:pt>
                <c:pt idx="9">
                  <c:v>1</c:v>
                </c:pt>
                <c:pt idx="10">
                  <c:v>0.90909090909090906</c:v>
                </c:pt>
                <c:pt idx="11">
                  <c:v>0.83870967741935742</c:v>
                </c:pt>
                <c:pt idx="12">
                  <c:v>1</c:v>
                </c:pt>
                <c:pt idx="13">
                  <c:v>1</c:v>
                </c:pt>
                <c:pt idx="14">
                  <c:v>0.92063492063492069</c:v>
                </c:pt>
                <c:pt idx="15">
                  <c:v>0.8666666666666667</c:v>
                </c:pt>
                <c:pt idx="16">
                  <c:v>0.88235294117647056</c:v>
                </c:pt>
                <c:pt idx="17">
                  <c:v>0.8</c:v>
                </c:pt>
                <c:pt idx="18">
                  <c:v>1</c:v>
                </c:pt>
                <c:pt idx="19">
                  <c:v>1</c:v>
                </c:pt>
                <c:pt idx="20">
                  <c:v>0.8502024291497976</c:v>
                </c:pt>
                <c:pt idx="21">
                  <c:v>1</c:v>
                </c:pt>
                <c:pt idx="22">
                  <c:v>0.89041095890410948</c:v>
                </c:pt>
                <c:pt idx="23">
                  <c:v>0.91666666666666652</c:v>
                </c:pt>
                <c:pt idx="24">
                  <c:v>0.9491525423728816</c:v>
                </c:pt>
                <c:pt idx="25">
                  <c:v>0.8666666666666667</c:v>
                </c:pt>
                <c:pt idx="26">
                  <c:v>0.92</c:v>
                </c:pt>
                <c:pt idx="27">
                  <c:v>1</c:v>
                </c:pt>
                <c:pt idx="28">
                  <c:v>1</c:v>
                </c:pt>
                <c:pt idx="29">
                  <c:v>1</c:v>
                </c:pt>
                <c:pt idx="30">
                  <c:v>0.95238095238095233</c:v>
                </c:pt>
                <c:pt idx="31">
                  <c:v>0.8333333333333337</c:v>
                </c:pt>
                <c:pt idx="32">
                  <c:v>1</c:v>
                </c:pt>
                <c:pt idx="33">
                  <c:v>1</c:v>
                </c:pt>
                <c:pt idx="34">
                  <c:v>1</c:v>
                </c:pt>
                <c:pt idx="35">
                  <c:v>1</c:v>
                </c:pt>
                <c:pt idx="36">
                  <c:v>1</c:v>
                </c:pt>
                <c:pt idx="37">
                  <c:v>0.76470588235294268</c:v>
                </c:pt>
                <c:pt idx="38">
                  <c:v>1</c:v>
                </c:pt>
                <c:pt idx="39">
                  <c:v>0.92957746478873238</c:v>
                </c:pt>
                <c:pt idx="40">
                  <c:v>1</c:v>
                </c:pt>
                <c:pt idx="41">
                  <c:v>0.98245614035087658</c:v>
                </c:pt>
                <c:pt idx="42">
                  <c:v>0.90909090909090906</c:v>
                </c:pt>
                <c:pt idx="43">
                  <c:v>0.84615384615384792</c:v>
                </c:pt>
                <c:pt idx="44">
                  <c:v>1</c:v>
                </c:pt>
                <c:pt idx="45">
                  <c:v>1</c:v>
                </c:pt>
                <c:pt idx="46">
                  <c:v>1</c:v>
                </c:pt>
                <c:pt idx="47">
                  <c:v>1</c:v>
                </c:pt>
                <c:pt idx="48">
                  <c:v>0.9807692307692305</c:v>
                </c:pt>
                <c:pt idx="49">
                  <c:v>1</c:v>
                </c:pt>
                <c:pt idx="50">
                  <c:v>0.37500000000000067</c:v>
                </c:pt>
                <c:pt idx="51">
                  <c:v>1</c:v>
                </c:pt>
                <c:pt idx="52">
                  <c:v>0.70000000000000062</c:v>
                </c:pt>
                <c:pt idx="53">
                  <c:v>0.8333333333333337</c:v>
                </c:pt>
                <c:pt idx="54">
                  <c:v>1</c:v>
                </c:pt>
                <c:pt idx="55">
                  <c:v>1</c:v>
                </c:pt>
                <c:pt idx="56">
                  <c:v>1</c:v>
                </c:pt>
                <c:pt idx="57">
                  <c:v>1</c:v>
                </c:pt>
                <c:pt idx="58">
                  <c:v>0.8333333333333337</c:v>
                </c:pt>
                <c:pt idx="59">
                  <c:v>1</c:v>
                </c:pt>
                <c:pt idx="60">
                  <c:v>1</c:v>
                </c:pt>
                <c:pt idx="61">
                  <c:v>1</c:v>
                </c:pt>
                <c:pt idx="62">
                  <c:v>0.94339622641509591</c:v>
                </c:pt>
                <c:pt idx="63">
                  <c:v>0.9285714285714286</c:v>
                </c:pt>
                <c:pt idx="64">
                  <c:v>0.9142857142857147</c:v>
                </c:pt>
                <c:pt idx="65">
                  <c:v>1</c:v>
                </c:pt>
                <c:pt idx="66">
                  <c:v>1</c:v>
                </c:pt>
                <c:pt idx="67">
                  <c:v>0.90909090909090906</c:v>
                </c:pt>
                <c:pt idx="68">
                  <c:v>1</c:v>
                </c:pt>
                <c:pt idx="69">
                  <c:v>0.75000000000000144</c:v>
                </c:pt>
                <c:pt idx="70">
                  <c:v>0.87500000000000144</c:v>
                </c:pt>
                <c:pt idx="71">
                  <c:v>1</c:v>
                </c:pt>
                <c:pt idx="72">
                  <c:v>1</c:v>
                </c:pt>
                <c:pt idx="73">
                  <c:v>1</c:v>
                </c:pt>
                <c:pt idx="74">
                  <c:v>1</c:v>
                </c:pt>
                <c:pt idx="75">
                  <c:v>0.94285714285714251</c:v>
                </c:pt>
                <c:pt idx="76">
                  <c:v>0.95061728395061729</c:v>
                </c:pt>
                <c:pt idx="77">
                  <c:v>1</c:v>
                </c:pt>
                <c:pt idx="78">
                  <c:v>1</c:v>
                </c:pt>
                <c:pt idx="79">
                  <c:v>0.95000000000000062</c:v>
                </c:pt>
                <c:pt idx="80">
                  <c:v>0.91818181818181865</c:v>
                </c:pt>
                <c:pt idx="81">
                  <c:v>0.89130434782608658</c:v>
                </c:pt>
                <c:pt idx="82">
                  <c:v>0.8333333333333337</c:v>
                </c:pt>
                <c:pt idx="83">
                  <c:v>0.8333333333333337</c:v>
                </c:pt>
                <c:pt idx="84">
                  <c:v>1</c:v>
                </c:pt>
                <c:pt idx="85">
                  <c:v>0.92307692307692257</c:v>
                </c:pt>
                <c:pt idx="86">
                  <c:v>0.76000000000000145</c:v>
                </c:pt>
                <c:pt idx="87">
                  <c:v>0.8</c:v>
                </c:pt>
                <c:pt idx="88">
                  <c:v>0.75000000000000144</c:v>
                </c:pt>
                <c:pt idx="89">
                  <c:v>0.88888888888888884</c:v>
                </c:pt>
                <c:pt idx="90">
                  <c:v>0.75000000000000144</c:v>
                </c:pt>
                <c:pt idx="91">
                  <c:v>0.76190476190476186</c:v>
                </c:pt>
                <c:pt idx="92">
                  <c:v>0.88091353996737209</c:v>
                </c:pt>
                <c:pt idx="93">
                  <c:v>0.90909090909090906</c:v>
                </c:pt>
                <c:pt idx="94">
                  <c:v>0.8333333333333337</c:v>
                </c:pt>
                <c:pt idx="95">
                  <c:v>1</c:v>
                </c:pt>
                <c:pt idx="96">
                  <c:v>1</c:v>
                </c:pt>
                <c:pt idx="97">
                  <c:v>1</c:v>
                </c:pt>
                <c:pt idx="98">
                  <c:v>1</c:v>
                </c:pt>
                <c:pt idx="99">
                  <c:v>0.88888888888888884</c:v>
                </c:pt>
                <c:pt idx="100">
                  <c:v>1</c:v>
                </c:pt>
                <c:pt idx="101">
                  <c:v>0.88172043010752765</c:v>
                </c:pt>
                <c:pt idx="102">
                  <c:v>1</c:v>
                </c:pt>
                <c:pt idx="103">
                  <c:v>0.78620689655172415</c:v>
                </c:pt>
                <c:pt idx="104">
                  <c:v>1</c:v>
                </c:pt>
                <c:pt idx="105">
                  <c:v>1</c:v>
                </c:pt>
                <c:pt idx="106">
                  <c:v>1</c:v>
                </c:pt>
                <c:pt idx="107">
                  <c:v>1</c:v>
                </c:pt>
                <c:pt idx="108">
                  <c:v>1</c:v>
                </c:pt>
                <c:pt idx="109">
                  <c:v>1</c:v>
                </c:pt>
                <c:pt idx="110">
                  <c:v>1</c:v>
                </c:pt>
                <c:pt idx="111">
                  <c:v>1</c:v>
                </c:pt>
                <c:pt idx="112">
                  <c:v>0.72727272727272729</c:v>
                </c:pt>
                <c:pt idx="113">
                  <c:v>0.69230769230769262</c:v>
                </c:pt>
                <c:pt idx="114">
                  <c:v>1</c:v>
                </c:pt>
                <c:pt idx="115">
                  <c:v>1</c:v>
                </c:pt>
                <c:pt idx="116">
                  <c:v>1</c:v>
                </c:pt>
                <c:pt idx="117">
                  <c:v>0.57142857142857328</c:v>
                </c:pt>
                <c:pt idx="118">
                  <c:v>0.8</c:v>
                </c:pt>
                <c:pt idx="119">
                  <c:v>0.75000000000000144</c:v>
                </c:pt>
                <c:pt idx="120">
                  <c:v>0.88888888888888884</c:v>
                </c:pt>
                <c:pt idx="121">
                  <c:v>1</c:v>
                </c:pt>
                <c:pt idx="122">
                  <c:v>0.75000000000000144</c:v>
                </c:pt>
                <c:pt idx="123">
                  <c:v>0.9</c:v>
                </c:pt>
                <c:pt idx="124">
                  <c:v>1</c:v>
                </c:pt>
                <c:pt idx="125">
                  <c:v>0</c:v>
                </c:pt>
                <c:pt idx="126">
                  <c:v>0.94117647058823561</c:v>
                </c:pt>
                <c:pt idx="127">
                  <c:v>1</c:v>
                </c:pt>
                <c:pt idx="128">
                  <c:v>1</c:v>
                </c:pt>
                <c:pt idx="129">
                  <c:v>1</c:v>
                </c:pt>
                <c:pt idx="130">
                  <c:v>1</c:v>
                </c:pt>
                <c:pt idx="131">
                  <c:v>0.85000000000000064</c:v>
                </c:pt>
                <c:pt idx="132">
                  <c:v>1</c:v>
                </c:pt>
                <c:pt idx="133">
                  <c:v>1</c:v>
                </c:pt>
                <c:pt idx="134">
                  <c:v>0.71428571428571463</c:v>
                </c:pt>
                <c:pt idx="135">
                  <c:v>0.85714285714285765</c:v>
                </c:pt>
                <c:pt idx="136">
                  <c:v>0.91666666666666652</c:v>
                </c:pt>
                <c:pt idx="137">
                  <c:v>0.5</c:v>
                </c:pt>
                <c:pt idx="138">
                  <c:v>0.86206896551723999</c:v>
                </c:pt>
                <c:pt idx="139">
                  <c:v>0.66666666666666663</c:v>
                </c:pt>
                <c:pt idx="140">
                  <c:v>0.66666666666666663</c:v>
                </c:pt>
                <c:pt idx="141">
                  <c:v>1</c:v>
                </c:pt>
                <c:pt idx="142">
                  <c:v>1</c:v>
                </c:pt>
                <c:pt idx="143">
                  <c:v>1</c:v>
                </c:pt>
                <c:pt idx="144">
                  <c:v>1</c:v>
                </c:pt>
                <c:pt idx="145">
                  <c:v>0.90909090909090906</c:v>
                </c:pt>
                <c:pt idx="146">
                  <c:v>0.98148148148148151</c:v>
                </c:pt>
                <c:pt idx="147">
                  <c:v>0.76923076923076927</c:v>
                </c:pt>
                <c:pt idx="148">
                  <c:v>0.81818181818181979</c:v>
                </c:pt>
                <c:pt idx="149">
                  <c:v>0.81818181818181979</c:v>
                </c:pt>
                <c:pt idx="150">
                  <c:v>0.76308539944903664</c:v>
                </c:pt>
                <c:pt idx="151">
                  <c:v>0.72222222222222221</c:v>
                </c:pt>
                <c:pt idx="152">
                  <c:v>0.91111111111111109</c:v>
                </c:pt>
                <c:pt idx="153">
                  <c:v>1</c:v>
                </c:pt>
                <c:pt idx="154">
                  <c:v>0.92307692307692257</c:v>
                </c:pt>
                <c:pt idx="155">
                  <c:v>0.66666666666666663</c:v>
                </c:pt>
                <c:pt idx="156">
                  <c:v>0.8333333333333337</c:v>
                </c:pt>
                <c:pt idx="157">
                  <c:v>0.77777777777777923</c:v>
                </c:pt>
                <c:pt idx="158">
                  <c:v>0.84210526315789624</c:v>
                </c:pt>
                <c:pt idx="159">
                  <c:v>1</c:v>
                </c:pt>
                <c:pt idx="160">
                  <c:v>0.97619047619047927</c:v>
                </c:pt>
                <c:pt idx="161">
                  <c:v>1</c:v>
                </c:pt>
              </c:numCache>
            </c:numRef>
          </c:xVal>
          <c:yVal>
            <c:numRef>
              <c:f>empleo!$E$207:$E$368</c:f>
              <c:numCache>
                <c:formatCode>General</c:formatCode>
                <c:ptCount val="162"/>
                <c:pt idx="0">
                  <c:v>-0.5063422763331884</c:v>
                </c:pt>
                <c:pt idx="1">
                  <c:v>6.0295789080772313E-3</c:v>
                </c:pt>
                <c:pt idx="2">
                  <c:v>-0.45662398745753852</c:v>
                </c:pt>
                <c:pt idx="3">
                  <c:v>6.5800998510992401E-2</c:v>
                </c:pt>
                <c:pt idx="4">
                  <c:v>0.10339822234594659</c:v>
                </c:pt>
                <c:pt idx="5">
                  <c:v>7.3146645175204611E-2</c:v>
                </c:pt>
                <c:pt idx="6">
                  <c:v>-7.0697420950537562E-2</c:v>
                </c:pt>
                <c:pt idx="7">
                  <c:v>5.406127080958411E-2</c:v>
                </c:pt>
                <c:pt idx="8">
                  <c:v>0.21341838909854627</c:v>
                </c:pt>
                <c:pt idx="9">
                  <c:v>4.0389380530973462E-2</c:v>
                </c:pt>
                <c:pt idx="10">
                  <c:v>-0.25237124930111199</c:v>
                </c:pt>
                <c:pt idx="11">
                  <c:v>4.9847741478076989E-2</c:v>
                </c:pt>
                <c:pt idx="12">
                  <c:v>-0.16450609908207686</c:v>
                </c:pt>
                <c:pt idx="13">
                  <c:v>9.8082485909402745E-2</c:v>
                </c:pt>
                <c:pt idx="14">
                  <c:v>6.9622596745476471E-4</c:v>
                </c:pt>
                <c:pt idx="15">
                  <c:v>-0.17735583518614917</c:v>
                </c:pt>
                <c:pt idx="16">
                  <c:v>1.3902812033378471</c:v>
                </c:pt>
                <c:pt idx="17">
                  <c:v>-0.87389454209065764</c:v>
                </c:pt>
                <c:pt idx="18">
                  <c:v>-0.1118352069867143</c:v>
                </c:pt>
                <c:pt idx="19">
                  <c:v>0.12814697468743946</c:v>
                </c:pt>
                <c:pt idx="20">
                  <c:v>1.4128011039036307E-2</c:v>
                </c:pt>
                <c:pt idx="21">
                  <c:v>-1.5564173628205903E-2</c:v>
                </c:pt>
                <c:pt idx="22">
                  <c:v>-0.13191871948657841</c:v>
                </c:pt>
                <c:pt idx="23">
                  <c:v>-1.1499318496124846E-2</c:v>
                </c:pt>
                <c:pt idx="24">
                  <c:v>7.1032952560702561E-3</c:v>
                </c:pt>
                <c:pt idx="25">
                  <c:v>1.1736073148266051</c:v>
                </c:pt>
                <c:pt idx="26">
                  <c:v>2.4292572964420042E-2</c:v>
                </c:pt>
                <c:pt idx="27">
                  <c:v>-0.25677098041229185</c:v>
                </c:pt>
                <c:pt idx="28">
                  <c:v>0.19450324949296127</c:v>
                </c:pt>
                <c:pt idx="29">
                  <c:v>-2.952572221073407E-2</c:v>
                </c:pt>
                <c:pt idx="30">
                  <c:v>4.3649187200316703E-3</c:v>
                </c:pt>
                <c:pt idx="31">
                  <c:v>2.5895778765461499E-3</c:v>
                </c:pt>
                <c:pt idx="32">
                  <c:v>2.7538845726970164E-2</c:v>
                </c:pt>
                <c:pt idx="33">
                  <c:v>2.4967954836774203E-2</c:v>
                </c:pt>
                <c:pt idx="34">
                  <c:v>2.2242462883687041E-2</c:v>
                </c:pt>
                <c:pt idx="35">
                  <c:v>1.1598738989140654E-3</c:v>
                </c:pt>
                <c:pt idx="36">
                  <c:v>7.5668253660283874E-3</c:v>
                </c:pt>
                <c:pt idx="37">
                  <c:v>4.8578181116583942E-3</c:v>
                </c:pt>
                <c:pt idx="38">
                  <c:v>3.6081628012621728E-2</c:v>
                </c:pt>
                <c:pt idx="39">
                  <c:v>0.11593014348220483</c:v>
                </c:pt>
                <c:pt idx="40">
                  <c:v>-0.14853333333333388</c:v>
                </c:pt>
                <c:pt idx="41">
                  <c:v>1.0953433478087261E-2</c:v>
                </c:pt>
                <c:pt idx="42">
                  <c:v>-3.529466414790499E-2</c:v>
                </c:pt>
                <c:pt idx="43">
                  <c:v>5.3651040378704752E-2</c:v>
                </c:pt>
                <c:pt idx="44">
                  <c:v>5.5540005438098221E-2</c:v>
                </c:pt>
                <c:pt idx="45">
                  <c:v>0.36437502465191496</c:v>
                </c:pt>
                <c:pt idx="46">
                  <c:v>3.6319396234715208E-3</c:v>
                </c:pt>
                <c:pt idx="47">
                  <c:v>-4.3978847038726683E-2</c:v>
                </c:pt>
                <c:pt idx="48">
                  <c:v>-4.5576707304661832E-2</c:v>
                </c:pt>
                <c:pt idx="49">
                  <c:v>0.36547851002865461</c:v>
                </c:pt>
                <c:pt idx="50">
                  <c:v>3.4522018022418478E-2</c:v>
                </c:pt>
                <c:pt idx="51">
                  <c:v>0.28216492510756774</c:v>
                </c:pt>
                <c:pt idx="52">
                  <c:v>-0.15955493140326293</c:v>
                </c:pt>
                <c:pt idx="53">
                  <c:v>-0.15751171220075605</c:v>
                </c:pt>
                <c:pt idx="54">
                  <c:v>1.1914755341330724E-3</c:v>
                </c:pt>
                <c:pt idx="55">
                  <c:v>4.4779552631665415E-2</c:v>
                </c:pt>
                <c:pt idx="56">
                  <c:v>-0.25289864895395597</c:v>
                </c:pt>
                <c:pt idx="57">
                  <c:v>-18.055347793567634</c:v>
                </c:pt>
                <c:pt idx="58">
                  <c:v>-5.0771388499298735E-2</c:v>
                </c:pt>
                <c:pt idx="59">
                  <c:v>6.5614815134575122E-2</c:v>
                </c:pt>
                <c:pt idx="60">
                  <c:v>5.9646545116107674E-2</c:v>
                </c:pt>
                <c:pt idx="61">
                  <c:v>0.11431944953381375</c:v>
                </c:pt>
                <c:pt idx="62">
                  <c:v>1.1527160197900899E-3</c:v>
                </c:pt>
                <c:pt idx="63">
                  <c:v>-0.16254894450119245</c:v>
                </c:pt>
                <c:pt idx="64">
                  <c:v>2.003179374028163E-2</c:v>
                </c:pt>
                <c:pt idx="65">
                  <c:v>0.13839354206743579</c:v>
                </c:pt>
                <c:pt idx="66">
                  <c:v>2.7092099111734453E-2</c:v>
                </c:pt>
                <c:pt idx="67">
                  <c:v>4.9655694869010381E-3</c:v>
                </c:pt>
                <c:pt idx="68">
                  <c:v>-0.23993924361532881</c:v>
                </c:pt>
                <c:pt idx="69">
                  <c:v>-7.3723572048842037E-3</c:v>
                </c:pt>
                <c:pt idx="70">
                  <c:v>4.5704737916514053E-3</c:v>
                </c:pt>
                <c:pt idx="71">
                  <c:v>0.14418410374731491</c:v>
                </c:pt>
                <c:pt idx="72">
                  <c:v>-0.77671650055371122</c:v>
                </c:pt>
                <c:pt idx="73">
                  <c:v>1.6215665809637767E-2</c:v>
                </c:pt>
                <c:pt idx="74">
                  <c:v>-5.5537844976773838E-2</c:v>
                </c:pt>
                <c:pt idx="75">
                  <c:v>-0.29053836044416131</c:v>
                </c:pt>
                <c:pt idx="76">
                  <c:v>-1.3539728900095768E-2</c:v>
                </c:pt>
                <c:pt idx="77">
                  <c:v>0.20962216957631341</c:v>
                </c:pt>
                <c:pt idx="78">
                  <c:v>0.43827129652760438</c:v>
                </c:pt>
                <c:pt idx="79">
                  <c:v>2.2385320825648789E-2</c:v>
                </c:pt>
                <c:pt idx="80">
                  <c:v>0.11480420162151411</c:v>
                </c:pt>
                <c:pt idx="81">
                  <c:v>-0.12334739366664398</c:v>
                </c:pt>
                <c:pt idx="82">
                  <c:v>-4.2177782027410723E-3</c:v>
                </c:pt>
                <c:pt idx="83">
                  <c:v>2.0146017161347431E-2</c:v>
                </c:pt>
                <c:pt idx="84">
                  <c:v>3.9735826043982665E-3</c:v>
                </c:pt>
                <c:pt idx="85">
                  <c:v>-7.5555031322901131E-2</c:v>
                </c:pt>
                <c:pt idx="86">
                  <c:v>0.14011690289231302</c:v>
                </c:pt>
                <c:pt idx="87">
                  <c:v>-0.32278925205534387</c:v>
                </c:pt>
                <c:pt idx="88">
                  <c:v>-1.7278947266933327E-3</c:v>
                </c:pt>
                <c:pt idx="89">
                  <c:v>1.2910918772229179E-2</c:v>
                </c:pt>
                <c:pt idx="90">
                  <c:v>6.2887892376681631E-2</c:v>
                </c:pt>
                <c:pt idx="91">
                  <c:v>4.4870767610631808E-3</c:v>
                </c:pt>
                <c:pt idx="92">
                  <c:v>-7.2041956941784335E-2</c:v>
                </c:pt>
                <c:pt idx="93">
                  <c:v>9.4825998895231495E-2</c:v>
                </c:pt>
                <c:pt idx="94">
                  <c:v>0.27373763116779504</c:v>
                </c:pt>
                <c:pt idx="95">
                  <c:v>-0.41285757907286991</c:v>
                </c:pt>
                <c:pt idx="96">
                  <c:v>0.11903326042071283</c:v>
                </c:pt>
                <c:pt idx="97">
                  <c:v>0.10668205277313404</c:v>
                </c:pt>
                <c:pt idx="98">
                  <c:v>5.6314341045764958E-2</c:v>
                </c:pt>
                <c:pt idx="99">
                  <c:v>-4.2433596779002811E-2</c:v>
                </c:pt>
                <c:pt idx="100">
                  <c:v>1.3736249940493318E-2</c:v>
                </c:pt>
                <c:pt idx="101">
                  <c:v>-8.930269173091563E-3</c:v>
                </c:pt>
                <c:pt idx="102">
                  <c:v>1.3689815842023521E-2</c:v>
                </c:pt>
                <c:pt idx="103">
                  <c:v>6.9738043358806567E-2</c:v>
                </c:pt>
                <c:pt idx="104">
                  <c:v>-0.24737974838585503</c:v>
                </c:pt>
                <c:pt idx="105">
                  <c:v>-2.4122150464052007E-2</c:v>
                </c:pt>
                <c:pt idx="106">
                  <c:v>0.14342988649916902</c:v>
                </c:pt>
                <c:pt idx="107">
                  <c:v>0.17230820436012687</c:v>
                </c:pt>
                <c:pt idx="108">
                  <c:v>-3.3148276126852467</c:v>
                </c:pt>
                <c:pt idx="109">
                  <c:v>9.0856005186517305E-2</c:v>
                </c:pt>
                <c:pt idx="110">
                  <c:v>9.2000000000000026E-2</c:v>
                </c:pt>
                <c:pt idx="111">
                  <c:v>0.28680524087729231</c:v>
                </c:pt>
                <c:pt idx="112">
                  <c:v>-0.17736379149511791</c:v>
                </c:pt>
                <c:pt idx="113">
                  <c:v>6.8332260644003856E-2</c:v>
                </c:pt>
                <c:pt idx="114">
                  <c:v>8.4448486423281781E-3</c:v>
                </c:pt>
                <c:pt idx="115">
                  <c:v>7.8104869750132808</c:v>
                </c:pt>
                <c:pt idx="116">
                  <c:v>-2.1017622628802388</c:v>
                </c:pt>
                <c:pt idx="117">
                  <c:v>0</c:v>
                </c:pt>
                <c:pt idx="118">
                  <c:v>-9.2010898499890748E-3</c:v>
                </c:pt>
                <c:pt idx="119">
                  <c:v>0.13097832504911486</c:v>
                </c:pt>
                <c:pt idx="120">
                  <c:v>0.36988568867345223</c:v>
                </c:pt>
                <c:pt idx="121">
                  <c:v>-4.1166050119331814</c:v>
                </c:pt>
                <c:pt idx="122">
                  <c:v>5.2386166276523503E-2</c:v>
                </c:pt>
                <c:pt idx="123">
                  <c:v>0.11296588841557099</c:v>
                </c:pt>
                <c:pt idx="124">
                  <c:v>1.3501119916983679E-2</c:v>
                </c:pt>
                <c:pt idx="125">
                  <c:v>-0.23376751286533906</c:v>
                </c:pt>
                <c:pt idx="126">
                  <c:v>4.4360176592955864E-3</c:v>
                </c:pt>
                <c:pt idx="127">
                  <c:v>2.8148289439622873E-2</c:v>
                </c:pt>
                <c:pt idx="128">
                  <c:v>-0.52836656173487051</c:v>
                </c:pt>
                <c:pt idx="129">
                  <c:v>5.8119675014389784E-2</c:v>
                </c:pt>
                <c:pt idx="130">
                  <c:v>-0.35333509851945083</c:v>
                </c:pt>
                <c:pt idx="131">
                  <c:v>-0.15620952733367435</c:v>
                </c:pt>
                <c:pt idx="132">
                  <c:v>-2.2450183461142359</c:v>
                </c:pt>
                <c:pt idx="133">
                  <c:v>-3.5535226652102678</c:v>
                </c:pt>
                <c:pt idx="134">
                  <c:v>-5.8785201503275333E-2</c:v>
                </c:pt>
                <c:pt idx="135">
                  <c:v>2.7614207351310958E-2</c:v>
                </c:pt>
                <c:pt idx="136">
                  <c:v>2.0819148378987129E-3</c:v>
                </c:pt>
                <c:pt idx="137">
                  <c:v>-6.0269915337114753E-2</c:v>
                </c:pt>
                <c:pt idx="138">
                  <c:v>-6.8377389598763827E-2</c:v>
                </c:pt>
                <c:pt idx="139">
                  <c:v>-0.16219115521660088</c:v>
                </c:pt>
                <c:pt idx="140">
                  <c:v>-2.9636304472979533E-2</c:v>
                </c:pt>
                <c:pt idx="141">
                  <c:v>2.3519699540563402E-3</c:v>
                </c:pt>
                <c:pt idx="142">
                  <c:v>0</c:v>
                </c:pt>
                <c:pt idx="143">
                  <c:v>0.20816216838791421</c:v>
                </c:pt>
                <c:pt idx="144">
                  <c:v>4.3866094791076761E-2</c:v>
                </c:pt>
                <c:pt idx="145">
                  <c:v>-0.14700129480151003</c:v>
                </c:pt>
                <c:pt idx="146">
                  <c:v>3.3228752774003355E-2</c:v>
                </c:pt>
                <c:pt idx="147">
                  <c:v>2.24038344322239E-2</c:v>
                </c:pt>
                <c:pt idx="148">
                  <c:v>2.6366149266425686E-2</c:v>
                </c:pt>
                <c:pt idx="149">
                  <c:v>4.2194341083251502E-4</c:v>
                </c:pt>
                <c:pt idx="150">
                  <c:v>0.14272571592541161</c:v>
                </c:pt>
                <c:pt idx="151">
                  <c:v>4.2794820451766226E-2</c:v>
                </c:pt>
                <c:pt idx="152">
                  <c:v>-0.10211172605546767</c:v>
                </c:pt>
                <c:pt idx="153">
                  <c:v>3.3735427650279252E-2</c:v>
                </c:pt>
                <c:pt idx="154">
                  <c:v>-6.440331989762639E-2</c:v>
                </c:pt>
                <c:pt idx="155">
                  <c:v>7.5406471504623915E-2</c:v>
                </c:pt>
                <c:pt idx="156">
                  <c:v>-5.3229742272159885E-3</c:v>
                </c:pt>
                <c:pt idx="157">
                  <c:v>2.9949491239110389E-4</c:v>
                </c:pt>
                <c:pt idx="158">
                  <c:v>4.9134773815530372E-2</c:v>
                </c:pt>
                <c:pt idx="159">
                  <c:v>0.23000393885874745</c:v>
                </c:pt>
                <c:pt idx="160">
                  <c:v>-5.0165665306155426E-2</c:v>
                </c:pt>
                <c:pt idx="161">
                  <c:v>-1.339925944387083</c:v>
                </c:pt>
              </c:numCache>
            </c:numRef>
          </c:yVal>
        </c:ser>
        <c:dLbls/>
        <c:axId val="155620864"/>
        <c:axId val="155622784"/>
      </c:scatterChart>
      <c:valAx>
        <c:axId val="155620864"/>
        <c:scaling>
          <c:orientation val="minMax"/>
          <c:max val="1.1000000000000001"/>
          <c:min val="0.30000000000000032"/>
        </c:scaling>
        <c:axPos val="b"/>
        <c:title>
          <c:tx>
            <c:rich>
              <a:bodyPr rot="0" vert="horz"/>
              <a:lstStyle/>
              <a:p>
                <a:pPr>
                  <a:defRPr sz="900">
                    <a:solidFill>
                      <a:srgbClr val="000000"/>
                    </a:solidFill>
                  </a:defRPr>
                </a:pPr>
                <a:r>
                  <a:rPr lang="es-ES" sz="900"/>
                  <a:t>Ratio de empleo</a:t>
                </a:r>
                <a:r>
                  <a:rPr lang="es-ES" sz="900" baseline="0"/>
                  <a:t> de PCD (PCD/empleados totales)</a:t>
                </a:r>
                <a:endParaRPr lang="es-ES" sz="900"/>
              </a:p>
            </c:rich>
          </c:tx>
          <c:layout>
            <c:manualLayout>
              <c:xMode val="edge"/>
              <c:yMode val="edge"/>
              <c:x val="0.20324886208844153"/>
              <c:y val="0.94910358745202617"/>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5622784"/>
        <c:crosses val="autoZero"/>
        <c:crossBetween val="midCat"/>
      </c:valAx>
      <c:valAx>
        <c:axId val="155622784"/>
        <c:scaling>
          <c:orientation val="minMax"/>
          <c:max val="2"/>
          <c:min val="-5"/>
        </c:scaling>
        <c:axPos val="l"/>
        <c:title>
          <c:tx>
            <c:rich>
              <a:bodyPr rot="-5400000" vert="horz"/>
              <a:lstStyle/>
              <a:p>
                <a:pPr>
                  <a:defRPr sz="900">
                    <a:solidFill>
                      <a:srgbClr val="000000"/>
                    </a:solidFill>
                  </a:defRPr>
                </a:pPr>
                <a:r>
                  <a:rPr lang="es-ES" sz="900"/>
                  <a:t>Rentabilidad</a:t>
                </a:r>
              </a:p>
            </c:rich>
          </c:tx>
          <c:layout>
            <c:manualLayout>
              <c:xMode val="edge"/>
              <c:yMode val="edge"/>
              <c:x val="1.6390309345384931E-2"/>
              <c:y val="0.3201155225315146"/>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5620864"/>
        <c:crosses val="autoZero"/>
        <c:crossBetween val="midCat"/>
      </c:valAx>
      <c:spPr>
        <a:noFill/>
        <a:ln w="25400">
          <a:noFill/>
        </a:ln>
      </c:spPr>
    </c:plotArea>
    <c:plotVisOnly val="1"/>
    <c:dispBlanksAs val="gap"/>
  </c:chart>
  <c:spPr>
    <a:solidFill>
      <a:sysClr val="window" lastClr="FFFFFF"/>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Calificaciones medias</a:t>
            </a:r>
          </a:p>
        </c:rich>
      </c:tx>
      <c:layout>
        <c:manualLayout>
          <c:xMode val="edge"/>
          <c:yMode val="edge"/>
          <c:x val="0.35054062003814762"/>
          <c:y val="7.9703290685518541E-2"/>
        </c:manualLayout>
      </c:layout>
    </c:title>
    <c:plotArea>
      <c:layout>
        <c:manualLayout>
          <c:layoutTarget val="inner"/>
          <c:xMode val="edge"/>
          <c:yMode val="edge"/>
          <c:x val="0.11794510686164229"/>
          <c:y val="0.1527158196134574"/>
          <c:w val="0.79145944366574261"/>
          <c:h val="0.6561497807119675"/>
        </c:manualLayout>
      </c:layout>
      <c:barChart>
        <c:barDir val="col"/>
        <c:grouping val="clustered"/>
        <c:ser>
          <c:idx val="0"/>
          <c:order val="0"/>
          <c:tx>
            <c:strRef>
              <c:f>'Puntuaciones tras cambios'!$A$726</c:f>
              <c:strCache>
                <c:ptCount val="1"/>
                <c:pt idx="0">
                  <c:v>Iniciativa social</c:v>
                </c:pt>
              </c:strCache>
            </c:strRef>
          </c:tx>
          <c:spPr>
            <a:solidFill>
              <a:srgbClr val="409DAD"/>
            </a:solidFill>
            <a:ln w="3175">
              <a:solidFill>
                <a:srgbClr val="FFFFFF"/>
              </a:solidFill>
              <a:prstDash val="solid"/>
            </a:ln>
          </c:spPr>
          <c:dLbls>
            <c:spPr>
              <a:noFill/>
              <a:ln>
                <a:noFill/>
              </a:ln>
              <a:effectLst/>
            </c:spPr>
            <c:txPr>
              <a:bodyPr/>
              <a:lstStyle/>
              <a:p>
                <a:pPr>
                  <a:defRPr sz="1000"/>
                </a:pPr>
                <a:endParaRPr lang="es-ES"/>
              </a:p>
            </c:txPr>
            <c:showVal val="1"/>
            <c:extLst>
              <c:ext xmlns:c15="http://schemas.microsoft.com/office/drawing/2012/chart" uri="{CE6537A1-D6FC-4f65-9D91-7224C49458BB}">
                <c15:showLeaderLines val="0"/>
              </c:ext>
            </c:extLst>
          </c:dLbls>
          <c:cat>
            <c:strRef>
              <c:f>'Puntuaciones tras cambios'!$B$725:$E$725</c:f>
              <c:strCache>
                <c:ptCount val="4"/>
                <c:pt idx="0">
                  <c:v>Evaluación Financiera 
(160 CEEs considerados)</c:v>
                </c:pt>
                <c:pt idx="1">
                  <c:v>Posición Competitiva 
(150 CEEs considerados)</c:v>
                </c:pt>
                <c:pt idx="2">
                  <c:v>Impacto Social
(157 CEEs considerados)</c:v>
                </c:pt>
                <c:pt idx="3">
                  <c:v>Evaluación Global 
(145 CEEs considerados)</c:v>
                </c:pt>
              </c:strCache>
            </c:strRef>
          </c:cat>
          <c:val>
            <c:numRef>
              <c:f>'Puntuaciones tras cambios'!$B$726:$E$726</c:f>
              <c:numCache>
                <c:formatCode>0.00</c:formatCode>
                <c:ptCount val="4"/>
                <c:pt idx="0">
                  <c:v>68.790849673202629</c:v>
                </c:pt>
                <c:pt idx="1">
                  <c:v>38.031914893617014</c:v>
                </c:pt>
                <c:pt idx="2">
                  <c:v>76.777777777777729</c:v>
                </c:pt>
                <c:pt idx="3">
                  <c:v>68.648049645390088</c:v>
                </c:pt>
              </c:numCache>
            </c:numRef>
          </c:val>
        </c:ser>
        <c:ser>
          <c:idx val="1"/>
          <c:order val="1"/>
          <c:tx>
            <c:strRef>
              <c:f>'Puntuaciones tras cambios'!$A$727</c:f>
              <c:strCache>
                <c:ptCount val="1"/>
                <c:pt idx="0">
                  <c:v>Iniciativa empresarial</c:v>
                </c:pt>
              </c:strCache>
            </c:strRef>
          </c:tx>
          <c:spPr>
            <a:solidFill>
              <a:srgbClr val="BFDEE4"/>
            </a:solidFill>
            <a:ln w="3175">
              <a:solidFill>
                <a:srgbClr val="FFFFFF"/>
              </a:solidFill>
              <a:prstDash val="solid"/>
            </a:ln>
          </c:spPr>
          <c:dLbls>
            <c:spPr>
              <a:noFill/>
              <a:ln>
                <a:noFill/>
              </a:ln>
              <a:effectLst/>
            </c:spPr>
            <c:txPr>
              <a:bodyPr/>
              <a:lstStyle/>
              <a:p>
                <a:pPr>
                  <a:defRPr sz="1000"/>
                </a:pPr>
                <a:endParaRPr lang="es-ES"/>
              </a:p>
            </c:txPr>
            <c:showVal val="1"/>
            <c:extLst>
              <c:ext xmlns:c15="http://schemas.microsoft.com/office/drawing/2012/chart" uri="{CE6537A1-D6FC-4f65-9D91-7224C49458BB}">
                <c15:showLeaderLines val="0"/>
              </c:ext>
            </c:extLst>
          </c:dLbls>
          <c:cat>
            <c:strRef>
              <c:f>'Puntuaciones tras cambios'!$B$725:$E$725</c:f>
              <c:strCache>
                <c:ptCount val="4"/>
                <c:pt idx="0">
                  <c:v>Evaluación Financiera 
(160 CEEs considerados)</c:v>
                </c:pt>
                <c:pt idx="1">
                  <c:v>Posición Competitiva 
(150 CEEs considerados)</c:v>
                </c:pt>
                <c:pt idx="2">
                  <c:v>Impacto Social
(157 CEEs considerados)</c:v>
                </c:pt>
                <c:pt idx="3">
                  <c:v>Evaluación Global 
(145 CEEs considerados)</c:v>
                </c:pt>
              </c:strCache>
            </c:strRef>
          </c:cat>
          <c:val>
            <c:numRef>
              <c:f>'Puntuaciones tras cambios'!$B$727:$E$727</c:f>
              <c:numCache>
                <c:formatCode>0.00</c:formatCode>
                <c:ptCount val="4"/>
                <c:pt idx="0">
                  <c:v>57.49235474006116</c:v>
                </c:pt>
                <c:pt idx="1">
                  <c:v>39.441747572815522</c:v>
                </c:pt>
                <c:pt idx="2">
                  <c:v>60.643821391484984</c:v>
                </c:pt>
                <c:pt idx="3">
                  <c:v>57.11415816326528</c:v>
                </c:pt>
              </c:numCache>
            </c:numRef>
          </c:val>
        </c:ser>
        <c:ser>
          <c:idx val="2"/>
          <c:order val="2"/>
          <c:tx>
            <c:strRef>
              <c:f>'Puntuaciones tras cambios'!$A$728</c:f>
              <c:strCache>
                <c:ptCount val="1"/>
                <c:pt idx="0">
                  <c:v>Todos los CEEs</c:v>
                </c:pt>
              </c:strCache>
            </c:strRef>
          </c:tx>
          <c:spPr>
            <a:solidFill>
              <a:srgbClr val="AA5CAA"/>
            </a:solidFill>
            <a:ln w="3175">
              <a:solidFill>
                <a:srgbClr val="FFFFFF"/>
              </a:solidFill>
              <a:prstDash val="solid"/>
            </a:ln>
          </c:spPr>
          <c:dLbls>
            <c:spPr>
              <a:noFill/>
              <a:ln>
                <a:noFill/>
              </a:ln>
              <a:effectLst/>
            </c:spPr>
            <c:txPr>
              <a:bodyPr/>
              <a:lstStyle/>
              <a:p>
                <a:pPr>
                  <a:defRPr sz="1000"/>
                </a:pPr>
                <a:endParaRPr lang="es-ES"/>
              </a:p>
            </c:txPr>
            <c:showVal val="1"/>
            <c:extLst>
              <c:ext xmlns:c15="http://schemas.microsoft.com/office/drawing/2012/chart" uri="{CE6537A1-D6FC-4f65-9D91-7224C49458BB}">
                <c15:showLeaderLines val="0"/>
              </c:ext>
            </c:extLst>
          </c:dLbls>
          <c:cat>
            <c:strRef>
              <c:f>'Puntuaciones tras cambios'!$B$725:$E$725</c:f>
              <c:strCache>
                <c:ptCount val="4"/>
                <c:pt idx="0">
                  <c:v>Evaluación Financiera 
(160 CEEs considerados)</c:v>
                </c:pt>
                <c:pt idx="1">
                  <c:v>Posición Competitiva 
(150 CEEs considerados)</c:v>
                </c:pt>
                <c:pt idx="2">
                  <c:v>Impacto Social
(157 CEEs considerados)</c:v>
                </c:pt>
                <c:pt idx="3">
                  <c:v>Evaluación Global 
(145 CEEs considerados)</c:v>
                </c:pt>
              </c:strCache>
            </c:strRef>
          </c:cat>
          <c:val>
            <c:numRef>
              <c:f>'Puntuaciones tras cambios'!$B$728:$E$728</c:f>
              <c:numCache>
                <c:formatCode>0</c:formatCode>
                <c:ptCount val="4"/>
                <c:pt idx="0" formatCode="0.00">
                  <c:v>61.093750000000021</c:v>
                </c:pt>
                <c:pt idx="1">
                  <c:v>39</c:v>
                </c:pt>
                <c:pt idx="2" formatCode="0.00">
                  <c:v>65.782024062278865</c:v>
                </c:pt>
                <c:pt idx="3" formatCode="0.00">
                  <c:v>60.852729885057457</c:v>
                </c:pt>
              </c:numCache>
            </c:numRef>
          </c:val>
        </c:ser>
        <c:dLbls/>
        <c:gapWidth val="40"/>
        <c:axId val="119846400"/>
        <c:axId val="119847936"/>
      </c:barChart>
      <c:catAx>
        <c:axId val="119846400"/>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19847936"/>
        <c:crosses val="autoZero"/>
        <c:auto val="1"/>
        <c:lblAlgn val="ctr"/>
        <c:lblOffset val="100"/>
      </c:catAx>
      <c:valAx>
        <c:axId val="119847936"/>
        <c:scaling>
          <c:orientation val="minMax"/>
        </c:scaling>
        <c:axPos val="l"/>
        <c:numFmt formatCode="0.00" sourceLinked="1"/>
        <c:tickLblPos val="nextTo"/>
        <c:spPr>
          <a:ln w="3175">
            <a:solidFill>
              <a:srgbClr val="000000"/>
            </a:solidFill>
            <a:prstDash val="solid"/>
          </a:ln>
        </c:spPr>
        <c:txPr>
          <a:bodyPr/>
          <a:lstStyle/>
          <a:p>
            <a:pPr>
              <a:defRPr>
                <a:solidFill>
                  <a:srgbClr val="000000"/>
                </a:solidFill>
              </a:defRPr>
            </a:pPr>
            <a:endParaRPr lang="es-ES"/>
          </a:p>
        </c:txPr>
        <c:crossAx val="119846400"/>
        <c:crosses val="autoZero"/>
        <c:crossBetween val="between"/>
      </c:valAx>
      <c:spPr>
        <a:noFill/>
        <a:ln w="25400">
          <a:noFill/>
        </a:ln>
      </c:spPr>
    </c:plotArea>
    <c:legend>
      <c:legendPos val="r"/>
      <c:layout>
        <c:manualLayout>
          <c:xMode val="edge"/>
          <c:yMode val="edge"/>
          <c:x val="0.70590261280970945"/>
          <c:y val="8.9361873698464267E-2"/>
          <c:w val="0.2105749233994976"/>
          <c:h val="0.11354177874632462"/>
        </c:manualLayout>
      </c:layout>
      <c:spPr>
        <a:noFill/>
        <a:ln w="25400">
          <a:noFill/>
        </a:ln>
      </c:spPr>
      <c:txPr>
        <a:bodyPr/>
        <a:lstStyle/>
        <a:p>
          <a:pPr>
            <a:defRPr>
              <a:solidFill>
                <a:srgbClr val="000000"/>
              </a:solidFill>
            </a:defRPr>
          </a:pPr>
          <a:endParaRPr lang="es-ES"/>
        </a:p>
      </c:txPr>
    </c:legend>
    <c:plotVisOnly val="1"/>
    <c:dispBlanksAs val="gap"/>
  </c:chart>
  <c:spPr>
    <a:solidFill>
      <a:schemeClr val="bg1"/>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900" b="1">
                <a:solidFill>
                  <a:srgbClr val="00338D"/>
                </a:solidFill>
                <a:latin typeface="Arial"/>
                <a:ea typeface="Arial"/>
                <a:cs typeface="Arial"/>
              </a:defRPr>
            </a:pPr>
            <a:r>
              <a:rPr lang="es-ES"/>
              <a:t>Ratio</a:t>
            </a:r>
            <a:r>
              <a:rPr lang="es-ES" baseline="0"/>
              <a:t> entre personas con especiales dificultades y número total de PCD de los CEEs</a:t>
            </a:r>
            <a:endParaRPr lang="es-ES"/>
          </a:p>
        </c:rich>
      </c:tx>
      <c:layout>
        <c:manualLayout>
          <c:xMode val="edge"/>
          <c:yMode val="edge"/>
          <c:x val="0.13428571428571426"/>
          <c:y val="2.7272727272727278E-2"/>
        </c:manualLayout>
      </c:layout>
    </c:title>
    <c:plotArea>
      <c:layout>
        <c:manualLayout>
          <c:layoutTarget val="inner"/>
          <c:xMode val="edge"/>
          <c:yMode val="edge"/>
          <c:x val="0.12430213723284589"/>
          <c:y val="0.1527158196134574"/>
          <c:w val="0.7871264341957257"/>
          <c:h val="0.65854939155333114"/>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1000"/>
                </a:pPr>
                <a:endParaRPr lang="es-ES"/>
              </a:p>
            </c:txPr>
            <c:showVal val="1"/>
            <c:extLst>
              <c:ext xmlns:c15="http://schemas.microsoft.com/office/drawing/2012/chart" uri="{CE6537A1-D6FC-4f65-9D91-7224C49458BB}">
                <c15:showLeaderLines val="0"/>
              </c:ext>
            </c:extLst>
          </c:dLbls>
          <c:cat>
            <c:strRef>
              <c:f>'Disc. elevadas y Pobl.'!$B$177:$B$179</c:f>
              <c:strCache>
                <c:ptCount val="3"/>
                <c:pt idx="0">
                  <c:v>Todos los CEEs</c:v>
                </c:pt>
                <c:pt idx="1">
                  <c:v>Iniciativa social</c:v>
                </c:pt>
                <c:pt idx="2">
                  <c:v>Iniciativa empresarial</c:v>
                </c:pt>
              </c:strCache>
            </c:strRef>
          </c:cat>
          <c:val>
            <c:numRef>
              <c:f>'Disc. elevadas y Pobl.'!$C$177:$C$179</c:f>
              <c:numCache>
                <c:formatCode>0.00</c:formatCode>
                <c:ptCount val="3"/>
                <c:pt idx="0" formatCode="General">
                  <c:v>0.36000000000000004</c:v>
                </c:pt>
                <c:pt idx="1">
                  <c:v>0.60205683403251598</c:v>
                </c:pt>
                <c:pt idx="2">
                  <c:v>0.26442852753256058</c:v>
                </c:pt>
              </c:numCache>
            </c:numRef>
          </c:val>
        </c:ser>
        <c:dLbls/>
        <c:gapWidth val="40"/>
        <c:axId val="155979136"/>
        <c:axId val="155989120"/>
      </c:barChart>
      <c:catAx>
        <c:axId val="155979136"/>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55989120"/>
        <c:crosses val="autoZero"/>
        <c:auto val="1"/>
        <c:lblAlgn val="ctr"/>
        <c:lblOffset val="100"/>
      </c:catAx>
      <c:valAx>
        <c:axId val="155989120"/>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55979136"/>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
              <a:t>Distribución del número de personas con especiales dificultades empleadas por los CEEs</a:t>
            </a:r>
          </a:p>
        </c:rich>
      </c:tx>
      <c:layout>
        <c:manualLayout>
          <c:xMode val="edge"/>
          <c:yMode val="edge"/>
          <c:x val="0.17464285714285718"/>
          <c:y val="2.862680626460154E-2"/>
        </c:manualLayout>
      </c:layout>
      <c:spPr>
        <a:noFill/>
        <a:ln>
          <a:noFill/>
        </a:ln>
        <a:effectLst/>
      </c:spPr>
    </c:title>
    <c:plotArea>
      <c:layout>
        <c:manualLayout>
          <c:layoutTarget val="inner"/>
          <c:xMode val="edge"/>
          <c:yMode val="edge"/>
          <c:x val="0.11794510686164229"/>
          <c:y val="0.1960808745060714"/>
          <c:w val="0.81634060742407222"/>
          <c:h val="0.69363867978041205"/>
        </c:manualLayout>
      </c:layout>
      <c:barChart>
        <c:barDir val="col"/>
        <c:grouping val="clustered"/>
        <c:ser>
          <c:idx val="0"/>
          <c:order val="0"/>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Histogramas!$BE$3:$BE$7</c:f>
              <c:strCache>
                <c:ptCount val="5"/>
                <c:pt idx="0">
                  <c:v>0</c:v>
                </c:pt>
                <c:pt idx="1">
                  <c:v>0-5</c:v>
                </c:pt>
                <c:pt idx="2">
                  <c:v>5-10</c:v>
                </c:pt>
                <c:pt idx="3">
                  <c:v>10-20</c:v>
                </c:pt>
                <c:pt idx="4">
                  <c:v>&gt;20</c:v>
                </c:pt>
              </c:strCache>
            </c:strRef>
          </c:cat>
          <c:val>
            <c:numRef>
              <c:f>Histogramas!$BF$3:$BF$7</c:f>
              <c:numCache>
                <c:formatCode>General</c:formatCode>
                <c:ptCount val="5"/>
                <c:pt idx="0">
                  <c:v>51</c:v>
                </c:pt>
                <c:pt idx="1">
                  <c:v>63</c:v>
                </c:pt>
                <c:pt idx="2">
                  <c:v>18</c:v>
                </c:pt>
                <c:pt idx="3">
                  <c:v>20</c:v>
                </c:pt>
                <c:pt idx="4">
                  <c:v>17</c:v>
                </c:pt>
              </c:numCache>
            </c:numRef>
          </c:val>
        </c:ser>
        <c:dLbls/>
        <c:gapWidth val="40"/>
        <c:axId val="156030848"/>
        <c:axId val="156032384"/>
      </c:barChart>
      <c:catAx>
        <c:axId val="156030848"/>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56032384"/>
        <c:crosses val="autoZero"/>
        <c:auto val="1"/>
        <c:lblAlgn val="ctr"/>
        <c:lblOffset val="100"/>
      </c:catAx>
      <c:valAx>
        <c:axId val="156032384"/>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2.5714285714285714E-2"/>
              <c:y val="0.3204108804581246"/>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56030848"/>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900" b="1">
                <a:solidFill>
                  <a:srgbClr val="00338D"/>
                </a:solidFill>
                <a:latin typeface="Arial"/>
                <a:ea typeface="Arial"/>
                <a:cs typeface="Arial"/>
              </a:defRPr>
            </a:pPr>
            <a:r>
              <a:rPr lang="es-ES"/>
              <a:t>Relación entre años</a:t>
            </a:r>
            <a:r>
              <a:rPr lang="es-ES" baseline="0"/>
              <a:t> de actividad e integración de las personas con especiales dificultades</a:t>
            </a:r>
            <a:endParaRPr lang="es-ES"/>
          </a:p>
        </c:rich>
      </c:tx>
      <c:layout>
        <c:manualLayout>
          <c:xMode val="edge"/>
          <c:yMode val="edge"/>
          <c:x val="0.15714942528735695"/>
          <c:y val="3.9386972012552791E-2"/>
        </c:manualLayout>
      </c:layout>
    </c:title>
    <c:plotArea>
      <c:layout>
        <c:manualLayout>
          <c:layoutTarget val="inner"/>
          <c:xMode val="edge"/>
          <c:yMode val="edge"/>
          <c:x val="0.11630902809306991"/>
          <c:y val="8.9223825778010385E-2"/>
          <c:w val="0.80331478334565432"/>
          <c:h val="0.74692836087670922"/>
        </c:manualLayout>
      </c:layout>
      <c:scatterChart>
        <c:scatterStyle val="lineMarker"/>
        <c:ser>
          <c:idx val="0"/>
          <c:order val="0"/>
          <c:spPr>
            <a:ln w="28575">
              <a:noFill/>
            </a:ln>
          </c:spPr>
          <c:marker>
            <c:symbol val="diamond"/>
            <c:size val="5"/>
            <c:spPr>
              <a:solidFill>
                <a:srgbClr val="007C92"/>
              </a:solidFill>
              <a:ln>
                <a:solidFill>
                  <a:srgbClr val="007C92"/>
                </a:solidFill>
                <a:prstDash val="solid"/>
              </a:ln>
            </c:spPr>
          </c:marker>
          <c:trendline>
            <c:trendlineType val="linear"/>
          </c:trendline>
          <c:xVal>
            <c:numRef>
              <c:f>'Disc. elevadas y Pobl.'!$D$4:$D$172</c:f>
              <c:numCache>
                <c:formatCode>General</c:formatCode>
                <c:ptCount val="169"/>
                <c:pt idx="0">
                  <c:v>0</c:v>
                </c:pt>
                <c:pt idx="1">
                  <c:v>0.5</c:v>
                </c:pt>
                <c:pt idx="2">
                  <c:v>0.42857142857142855</c:v>
                </c:pt>
                <c:pt idx="3">
                  <c:v>0</c:v>
                </c:pt>
                <c:pt idx="4">
                  <c:v>0.8</c:v>
                </c:pt>
                <c:pt idx="5">
                  <c:v>1</c:v>
                </c:pt>
                <c:pt idx="6">
                  <c:v>0.2</c:v>
                </c:pt>
                <c:pt idx="7">
                  <c:v>0</c:v>
                </c:pt>
                <c:pt idx="8">
                  <c:v>1</c:v>
                </c:pt>
                <c:pt idx="9">
                  <c:v>0</c:v>
                </c:pt>
                <c:pt idx="10">
                  <c:v>0.5</c:v>
                </c:pt>
                <c:pt idx="11">
                  <c:v>0.64864864864864891</c:v>
                </c:pt>
                <c:pt idx="12">
                  <c:v>0.30769230769230776</c:v>
                </c:pt>
                <c:pt idx="13">
                  <c:v>0.25</c:v>
                </c:pt>
                <c:pt idx="14">
                  <c:v>0</c:v>
                </c:pt>
                <c:pt idx="15">
                  <c:v>0.30909090909090914</c:v>
                </c:pt>
                <c:pt idx="16">
                  <c:v>0.36842105263157893</c:v>
                </c:pt>
                <c:pt idx="17">
                  <c:v>1</c:v>
                </c:pt>
                <c:pt idx="18">
                  <c:v>0.75000000000000011</c:v>
                </c:pt>
                <c:pt idx="19">
                  <c:v>0</c:v>
                </c:pt>
                <c:pt idx="20">
                  <c:v>0.95833333333333348</c:v>
                </c:pt>
                <c:pt idx="21">
                  <c:v>0.90038314176245182</c:v>
                </c:pt>
                <c:pt idx="22">
                  <c:v>1</c:v>
                </c:pt>
                <c:pt idx="23">
                  <c:v>0.84671532846715325</c:v>
                </c:pt>
                <c:pt idx="24">
                  <c:v>0.5</c:v>
                </c:pt>
                <c:pt idx="25">
                  <c:v>0.75423728813559332</c:v>
                </c:pt>
                <c:pt idx="26">
                  <c:v>0.51724137931034486</c:v>
                </c:pt>
                <c:pt idx="27">
                  <c:v>0.25</c:v>
                </c:pt>
                <c:pt idx="28">
                  <c:v>0</c:v>
                </c:pt>
                <c:pt idx="29">
                  <c:v>1</c:v>
                </c:pt>
                <c:pt idx="30">
                  <c:v>0</c:v>
                </c:pt>
                <c:pt idx="31">
                  <c:v>0.15000000000000002</c:v>
                </c:pt>
                <c:pt idx="32">
                  <c:v>0.5</c:v>
                </c:pt>
                <c:pt idx="33">
                  <c:v>0.5</c:v>
                </c:pt>
                <c:pt idx="34">
                  <c:v>0</c:v>
                </c:pt>
                <c:pt idx="35">
                  <c:v>0</c:v>
                </c:pt>
                <c:pt idx="36">
                  <c:v>0</c:v>
                </c:pt>
                <c:pt idx="37">
                  <c:v>0</c:v>
                </c:pt>
                <c:pt idx="38">
                  <c:v>0.12195121951219511</c:v>
                </c:pt>
                <c:pt idx="39">
                  <c:v>0</c:v>
                </c:pt>
                <c:pt idx="40">
                  <c:v>0.68</c:v>
                </c:pt>
                <c:pt idx="41">
                  <c:v>0.66666666666666663</c:v>
                </c:pt>
                <c:pt idx="42">
                  <c:v>0.36666666666666675</c:v>
                </c:pt>
                <c:pt idx="43">
                  <c:v>0.79591836734693866</c:v>
                </c:pt>
                <c:pt idx="44">
                  <c:v>0.81818181818181834</c:v>
                </c:pt>
                <c:pt idx="45">
                  <c:v>1</c:v>
                </c:pt>
                <c:pt idx="46">
                  <c:v>0.75000000000000011</c:v>
                </c:pt>
                <c:pt idx="47">
                  <c:v>0.25</c:v>
                </c:pt>
                <c:pt idx="48">
                  <c:v>0</c:v>
                </c:pt>
                <c:pt idx="49">
                  <c:v>0.25862068965517249</c:v>
                </c:pt>
                <c:pt idx="50">
                  <c:v>0.22222222222222221</c:v>
                </c:pt>
                <c:pt idx="51">
                  <c:v>0</c:v>
                </c:pt>
                <c:pt idx="52">
                  <c:v>0</c:v>
                </c:pt>
                <c:pt idx="53">
                  <c:v>0.5</c:v>
                </c:pt>
                <c:pt idx="54">
                  <c:v>0</c:v>
                </c:pt>
                <c:pt idx="55">
                  <c:v>0</c:v>
                </c:pt>
                <c:pt idx="56">
                  <c:v>0</c:v>
                </c:pt>
                <c:pt idx="57">
                  <c:v>0.125</c:v>
                </c:pt>
                <c:pt idx="58">
                  <c:v>0</c:v>
                </c:pt>
                <c:pt idx="59">
                  <c:v>0.64705882352941202</c:v>
                </c:pt>
                <c:pt idx="60">
                  <c:v>0</c:v>
                </c:pt>
                <c:pt idx="61">
                  <c:v>0.5</c:v>
                </c:pt>
                <c:pt idx="62">
                  <c:v>0.2</c:v>
                </c:pt>
                <c:pt idx="63">
                  <c:v>0.25</c:v>
                </c:pt>
                <c:pt idx="64">
                  <c:v>0.60000000000000009</c:v>
                </c:pt>
                <c:pt idx="65">
                  <c:v>0.36734693877551028</c:v>
                </c:pt>
                <c:pt idx="66">
                  <c:v>0.62500000000000011</c:v>
                </c:pt>
                <c:pt idx="67">
                  <c:v>0.18918918918918923</c:v>
                </c:pt>
                <c:pt idx="68">
                  <c:v>0.36842105263157893</c:v>
                </c:pt>
                <c:pt idx="69">
                  <c:v>0</c:v>
                </c:pt>
                <c:pt idx="70">
                  <c:v>0</c:v>
                </c:pt>
                <c:pt idx="71">
                  <c:v>0.42857142857142855</c:v>
                </c:pt>
                <c:pt idx="72">
                  <c:v>0</c:v>
                </c:pt>
                <c:pt idx="73">
                  <c:v>0</c:v>
                </c:pt>
                <c:pt idx="74">
                  <c:v>1</c:v>
                </c:pt>
                <c:pt idx="75">
                  <c:v>0.88888888888888884</c:v>
                </c:pt>
                <c:pt idx="76">
                  <c:v>0.66666666666666663</c:v>
                </c:pt>
                <c:pt idx="77">
                  <c:v>0</c:v>
                </c:pt>
                <c:pt idx="78">
                  <c:v>0.25</c:v>
                </c:pt>
                <c:pt idx="79">
                  <c:v>0.61392405063291156</c:v>
                </c:pt>
                <c:pt idx="80">
                  <c:v>0</c:v>
                </c:pt>
                <c:pt idx="81">
                  <c:v>0.4</c:v>
                </c:pt>
                <c:pt idx="82">
                  <c:v>0.15000000000000002</c:v>
                </c:pt>
                <c:pt idx="83">
                  <c:v>0.4689922480620155</c:v>
                </c:pt>
                <c:pt idx="84">
                  <c:v>0.29268292682926839</c:v>
                </c:pt>
                <c:pt idx="85">
                  <c:v>0.31034482758620696</c:v>
                </c:pt>
                <c:pt idx="86">
                  <c:v>7.6923076923076927E-2</c:v>
                </c:pt>
                <c:pt idx="87">
                  <c:v>0.28571428571428581</c:v>
                </c:pt>
                <c:pt idx="88">
                  <c:v>0.37500000000000006</c:v>
                </c:pt>
                <c:pt idx="89">
                  <c:v>0.2777777777777779</c:v>
                </c:pt>
                <c:pt idx="90">
                  <c:v>0</c:v>
                </c:pt>
                <c:pt idx="91">
                  <c:v>0</c:v>
                </c:pt>
                <c:pt idx="92">
                  <c:v>0</c:v>
                </c:pt>
                <c:pt idx="93">
                  <c:v>0</c:v>
                </c:pt>
                <c:pt idx="94">
                  <c:v>0.75000000000000011</c:v>
                </c:pt>
                <c:pt idx="95">
                  <c:v>0.57259713701431492</c:v>
                </c:pt>
                <c:pt idx="96">
                  <c:v>0.25862068965517249</c:v>
                </c:pt>
                <c:pt idx="97">
                  <c:v>0.33333333333333331</c:v>
                </c:pt>
                <c:pt idx="98">
                  <c:v>0.28571428571428581</c:v>
                </c:pt>
                <c:pt idx="99">
                  <c:v>0.5</c:v>
                </c:pt>
                <c:pt idx="100">
                  <c:v>0.66666666666666663</c:v>
                </c:pt>
                <c:pt idx="101">
                  <c:v>0.5</c:v>
                </c:pt>
                <c:pt idx="102">
                  <c:v>1</c:v>
                </c:pt>
                <c:pt idx="103">
                  <c:v>0.2</c:v>
                </c:pt>
                <c:pt idx="104">
                  <c:v>0.34848484848484862</c:v>
                </c:pt>
                <c:pt idx="105">
                  <c:v>1</c:v>
                </c:pt>
                <c:pt idx="106">
                  <c:v>0.32173913043478253</c:v>
                </c:pt>
                <c:pt idx="107">
                  <c:v>0</c:v>
                </c:pt>
                <c:pt idx="108">
                  <c:v>0.16666666666666666</c:v>
                </c:pt>
                <c:pt idx="109">
                  <c:v>0</c:v>
                </c:pt>
                <c:pt idx="110">
                  <c:v>0</c:v>
                </c:pt>
                <c:pt idx="111">
                  <c:v>0</c:v>
                </c:pt>
                <c:pt idx="112">
                  <c:v>0</c:v>
                </c:pt>
                <c:pt idx="113">
                  <c:v>0.33333333333333331</c:v>
                </c:pt>
                <c:pt idx="114">
                  <c:v>0.33333333333333331</c:v>
                </c:pt>
                <c:pt idx="115">
                  <c:v>0.42857142857142855</c:v>
                </c:pt>
                <c:pt idx="116">
                  <c:v>0.5</c:v>
                </c:pt>
                <c:pt idx="117">
                  <c:v>0.5</c:v>
                </c:pt>
                <c:pt idx="118">
                  <c:v>0</c:v>
                </c:pt>
                <c:pt idx="119">
                  <c:v>0</c:v>
                </c:pt>
                <c:pt idx="120">
                  <c:v>0.2</c:v>
                </c:pt>
                <c:pt idx="121">
                  <c:v>0</c:v>
                </c:pt>
                <c:pt idx="122">
                  <c:v>0.5</c:v>
                </c:pt>
                <c:pt idx="123">
                  <c:v>0.91666666666666652</c:v>
                </c:pt>
                <c:pt idx="124">
                  <c:v>0.5</c:v>
                </c:pt>
                <c:pt idx="125">
                  <c:v>0</c:v>
                </c:pt>
                <c:pt idx="126">
                  <c:v>0</c:v>
                </c:pt>
                <c:pt idx="127">
                  <c:v>0.63636363636363646</c:v>
                </c:pt>
                <c:pt idx="128">
                  <c:v>0.23076923076923084</c:v>
                </c:pt>
                <c:pt idx="129">
                  <c:v>0</c:v>
                </c:pt>
                <c:pt idx="130">
                  <c:v>0.29545454545454553</c:v>
                </c:pt>
                <c:pt idx="131">
                  <c:v>0</c:v>
                </c:pt>
                <c:pt idx="132">
                  <c:v>1</c:v>
                </c:pt>
                <c:pt idx="133">
                  <c:v>0</c:v>
                </c:pt>
                <c:pt idx="134">
                  <c:v>0.5</c:v>
                </c:pt>
                <c:pt idx="135">
                  <c:v>0.66666666666666663</c:v>
                </c:pt>
                <c:pt idx="136">
                  <c:v>0.5</c:v>
                </c:pt>
                <c:pt idx="137">
                  <c:v>0</c:v>
                </c:pt>
                <c:pt idx="138">
                  <c:v>0.70000000000000007</c:v>
                </c:pt>
                <c:pt idx="139">
                  <c:v>1</c:v>
                </c:pt>
                <c:pt idx="140">
                  <c:v>0.47619047619047622</c:v>
                </c:pt>
                <c:pt idx="141">
                  <c:v>0.33333333333333331</c:v>
                </c:pt>
                <c:pt idx="142">
                  <c:v>0</c:v>
                </c:pt>
                <c:pt idx="143">
                  <c:v>0.76000000000000012</c:v>
                </c:pt>
                <c:pt idx="144">
                  <c:v>0.25</c:v>
                </c:pt>
                <c:pt idx="145">
                  <c:v>0</c:v>
                </c:pt>
                <c:pt idx="146">
                  <c:v>0.51724137931034486</c:v>
                </c:pt>
                <c:pt idx="147">
                  <c:v>1</c:v>
                </c:pt>
                <c:pt idx="148">
                  <c:v>0</c:v>
                </c:pt>
                <c:pt idx="149">
                  <c:v>0.62500000000000011</c:v>
                </c:pt>
                <c:pt idx="150">
                  <c:v>0.92</c:v>
                </c:pt>
                <c:pt idx="151">
                  <c:v>0.27083333333333326</c:v>
                </c:pt>
                <c:pt idx="152">
                  <c:v>0.8</c:v>
                </c:pt>
                <c:pt idx="153">
                  <c:v>0.66666666666666663</c:v>
                </c:pt>
                <c:pt idx="154">
                  <c:v>0.72222222222222221</c:v>
                </c:pt>
                <c:pt idx="155">
                  <c:v>0.22996515679442514</c:v>
                </c:pt>
                <c:pt idx="156">
                  <c:v>0.33333333333333331</c:v>
                </c:pt>
                <c:pt idx="157">
                  <c:v>0.5628742514970061</c:v>
                </c:pt>
                <c:pt idx="158">
                  <c:v>0.2</c:v>
                </c:pt>
                <c:pt idx="159">
                  <c:v>0</c:v>
                </c:pt>
                <c:pt idx="160">
                  <c:v>0</c:v>
                </c:pt>
                <c:pt idx="161">
                  <c:v>0</c:v>
                </c:pt>
                <c:pt idx="162">
                  <c:v>0.60000000000000009</c:v>
                </c:pt>
                <c:pt idx="163">
                  <c:v>0.1428571428571429</c:v>
                </c:pt>
                <c:pt idx="164">
                  <c:v>6.25E-2</c:v>
                </c:pt>
                <c:pt idx="165">
                  <c:v>0.5</c:v>
                </c:pt>
                <c:pt idx="166">
                  <c:v>0.1470588235294118</c:v>
                </c:pt>
                <c:pt idx="167">
                  <c:v>0.5</c:v>
                </c:pt>
                <c:pt idx="168">
                  <c:v>0.52</c:v>
                </c:pt>
              </c:numCache>
            </c:numRef>
          </c:xVal>
          <c:yVal>
            <c:numRef>
              <c:f>'Disc. elevadas y Pobl.'!$E$4:$E$172</c:f>
              <c:numCache>
                <c:formatCode>General</c:formatCode>
                <c:ptCount val="169"/>
                <c:pt idx="0">
                  <c:v>4</c:v>
                </c:pt>
                <c:pt idx="1">
                  <c:v>11</c:v>
                </c:pt>
                <c:pt idx="2">
                  <c:v>2</c:v>
                </c:pt>
                <c:pt idx="3">
                  <c:v>2</c:v>
                </c:pt>
                <c:pt idx="4">
                  <c:v>6</c:v>
                </c:pt>
                <c:pt idx="5">
                  <c:v>3</c:v>
                </c:pt>
                <c:pt idx="6">
                  <c:v>5</c:v>
                </c:pt>
                <c:pt idx="7">
                  <c:v>8</c:v>
                </c:pt>
                <c:pt idx="8">
                  <c:v>9</c:v>
                </c:pt>
                <c:pt idx="9">
                  <c:v>2</c:v>
                </c:pt>
                <c:pt idx="10">
                  <c:v>6</c:v>
                </c:pt>
                <c:pt idx="11">
                  <c:v>22</c:v>
                </c:pt>
                <c:pt idx="12">
                  <c:v>8</c:v>
                </c:pt>
                <c:pt idx="13">
                  <c:v>1</c:v>
                </c:pt>
                <c:pt idx="14">
                  <c:v>13</c:v>
                </c:pt>
                <c:pt idx="15">
                  <c:v>17</c:v>
                </c:pt>
                <c:pt idx="16">
                  <c:v>13</c:v>
                </c:pt>
                <c:pt idx="17">
                  <c:v>19</c:v>
                </c:pt>
                <c:pt idx="18">
                  <c:v>3</c:v>
                </c:pt>
                <c:pt idx="19">
                  <c:v>14</c:v>
                </c:pt>
                <c:pt idx="20">
                  <c:v>16</c:v>
                </c:pt>
                <c:pt idx="21">
                  <c:v>21</c:v>
                </c:pt>
                <c:pt idx="22">
                  <c:v>11</c:v>
                </c:pt>
                <c:pt idx="23">
                  <c:v>32</c:v>
                </c:pt>
                <c:pt idx="24">
                  <c:v>19</c:v>
                </c:pt>
                <c:pt idx="25">
                  <c:v>28</c:v>
                </c:pt>
                <c:pt idx="26">
                  <c:v>13</c:v>
                </c:pt>
                <c:pt idx="27">
                  <c:v>20</c:v>
                </c:pt>
                <c:pt idx="28">
                  <c:v>5</c:v>
                </c:pt>
                <c:pt idx="29">
                  <c:v>6</c:v>
                </c:pt>
                <c:pt idx="30">
                  <c:v>7</c:v>
                </c:pt>
                <c:pt idx="31">
                  <c:v>11</c:v>
                </c:pt>
                <c:pt idx="32">
                  <c:v>12</c:v>
                </c:pt>
                <c:pt idx="33">
                  <c:v>7</c:v>
                </c:pt>
                <c:pt idx="34">
                  <c:v>12</c:v>
                </c:pt>
                <c:pt idx="35">
                  <c:v>5</c:v>
                </c:pt>
                <c:pt idx="36">
                  <c:v>7</c:v>
                </c:pt>
                <c:pt idx="37">
                  <c:v>11</c:v>
                </c:pt>
                <c:pt idx="38">
                  <c:v>15</c:v>
                </c:pt>
                <c:pt idx="39">
                  <c:v>15</c:v>
                </c:pt>
                <c:pt idx="40">
                  <c:v>21</c:v>
                </c:pt>
                <c:pt idx="41">
                  <c:v>2</c:v>
                </c:pt>
                <c:pt idx="42">
                  <c:v>16</c:v>
                </c:pt>
                <c:pt idx="43">
                  <c:v>29</c:v>
                </c:pt>
                <c:pt idx="44">
                  <c:v>24</c:v>
                </c:pt>
                <c:pt idx="45">
                  <c:v>14</c:v>
                </c:pt>
                <c:pt idx="46">
                  <c:v>2</c:v>
                </c:pt>
                <c:pt idx="47">
                  <c:v>2</c:v>
                </c:pt>
                <c:pt idx="48">
                  <c:v>3</c:v>
                </c:pt>
                <c:pt idx="49">
                  <c:v>12</c:v>
                </c:pt>
                <c:pt idx="50">
                  <c:v>2</c:v>
                </c:pt>
                <c:pt idx="51">
                  <c:v>3</c:v>
                </c:pt>
                <c:pt idx="52">
                  <c:v>6</c:v>
                </c:pt>
                <c:pt idx="53">
                  <c:v>10</c:v>
                </c:pt>
                <c:pt idx="54">
                  <c:v>12</c:v>
                </c:pt>
                <c:pt idx="55">
                  <c:v>28</c:v>
                </c:pt>
                <c:pt idx="56">
                  <c:v>14</c:v>
                </c:pt>
                <c:pt idx="57">
                  <c:v>10</c:v>
                </c:pt>
                <c:pt idx="58">
                  <c:v>20</c:v>
                </c:pt>
                <c:pt idx="59">
                  <c:v>11</c:v>
                </c:pt>
                <c:pt idx="60">
                  <c:v>10</c:v>
                </c:pt>
                <c:pt idx="61">
                  <c:v>9</c:v>
                </c:pt>
                <c:pt idx="62">
                  <c:v>3</c:v>
                </c:pt>
                <c:pt idx="63">
                  <c:v>3</c:v>
                </c:pt>
                <c:pt idx="64">
                  <c:v>11</c:v>
                </c:pt>
                <c:pt idx="65">
                  <c:v>10</c:v>
                </c:pt>
                <c:pt idx="66">
                  <c:v>18</c:v>
                </c:pt>
                <c:pt idx="67">
                  <c:v>4</c:v>
                </c:pt>
                <c:pt idx="68">
                  <c:v>5</c:v>
                </c:pt>
                <c:pt idx="69">
                  <c:v>9</c:v>
                </c:pt>
                <c:pt idx="70">
                  <c:v>5</c:v>
                </c:pt>
                <c:pt idx="71">
                  <c:v>2</c:v>
                </c:pt>
                <c:pt idx="72">
                  <c:v>3</c:v>
                </c:pt>
                <c:pt idx="73">
                  <c:v>9</c:v>
                </c:pt>
                <c:pt idx="74">
                  <c:v>4</c:v>
                </c:pt>
                <c:pt idx="75">
                  <c:v>2</c:v>
                </c:pt>
                <c:pt idx="76">
                  <c:v>8</c:v>
                </c:pt>
                <c:pt idx="77">
                  <c:v>4</c:v>
                </c:pt>
                <c:pt idx="78">
                  <c:v>13</c:v>
                </c:pt>
                <c:pt idx="79">
                  <c:v>4</c:v>
                </c:pt>
                <c:pt idx="80">
                  <c:v>13</c:v>
                </c:pt>
                <c:pt idx="81">
                  <c:v>4</c:v>
                </c:pt>
                <c:pt idx="82">
                  <c:v>9</c:v>
                </c:pt>
                <c:pt idx="83">
                  <c:v>17</c:v>
                </c:pt>
                <c:pt idx="84">
                  <c:v>5</c:v>
                </c:pt>
                <c:pt idx="85">
                  <c:v>27</c:v>
                </c:pt>
                <c:pt idx="86">
                  <c:v>15</c:v>
                </c:pt>
                <c:pt idx="87">
                  <c:v>8</c:v>
                </c:pt>
                <c:pt idx="88">
                  <c:v>7</c:v>
                </c:pt>
                <c:pt idx="89">
                  <c:v>13</c:v>
                </c:pt>
                <c:pt idx="90">
                  <c:v>19</c:v>
                </c:pt>
                <c:pt idx="91">
                  <c:v>4</c:v>
                </c:pt>
                <c:pt idx="92">
                  <c:v>3</c:v>
                </c:pt>
                <c:pt idx="93">
                  <c:v>3</c:v>
                </c:pt>
                <c:pt idx="94">
                  <c:v>8</c:v>
                </c:pt>
                <c:pt idx="95">
                  <c:v>13</c:v>
                </c:pt>
                <c:pt idx="96">
                  <c:v>9</c:v>
                </c:pt>
                <c:pt idx="97">
                  <c:v>5</c:v>
                </c:pt>
                <c:pt idx="98">
                  <c:v>8</c:v>
                </c:pt>
                <c:pt idx="99">
                  <c:v>7</c:v>
                </c:pt>
                <c:pt idx="100">
                  <c:v>9</c:v>
                </c:pt>
                <c:pt idx="101">
                  <c:v>4</c:v>
                </c:pt>
                <c:pt idx="102">
                  <c:v>10</c:v>
                </c:pt>
                <c:pt idx="103">
                  <c:v>5</c:v>
                </c:pt>
                <c:pt idx="104">
                  <c:v>12</c:v>
                </c:pt>
                <c:pt idx="105">
                  <c:v>5</c:v>
                </c:pt>
                <c:pt idx="106">
                  <c:v>5</c:v>
                </c:pt>
                <c:pt idx="107">
                  <c:v>1</c:v>
                </c:pt>
                <c:pt idx="108">
                  <c:v>29</c:v>
                </c:pt>
                <c:pt idx="109">
                  <c:v>15</c:v>
                </c:pt>
                <c:pt idx="110">
                  <c:v>9</c:v>
                </c:pt>
                <c:pt idx="111">
                  <c:v>4</c:v>
                </c:pt>
                <c:pt idx="112">
                  <c:v>17</c:v>
                </c:pt>
                <c:pt idx="113">
                  <c:v>19</c:v>
                </c:pt>
                <c:pt idx="114">
                  <c:v>9</c:v>
                </c:pt>
                <c:pt idx="115">
                  <c:v>14</c:v>
                </c:pt>
                <c:pt idx="116">
                  <c:v>15</c:v>
                </c:pt>
                <c:pt idx="117">
                  <c:v>11</c:v>
                </c:pt>
                <c:pt idx="118">
                  <c:v>3</c:v>
                </c:pt>
                <c:pt idx="119">
                  <c:v>8</c:v>
                </c:pt>
                <c:pt idx="120">
                  <c:v>7</c:v>
                </c:pt>
                <c:pt idx="121">
                  <c:v>12</c:v>
                </c:pt>
                <c:pt idx="122">
                  <c:v>13</c:v>
                </c:pt>
                <c:pt idx="123">
                  <c:v>21</c:v>
                </c:pt>
                <c:pt idx="124">
                  <c:v>3</c:v>
                </c:pt>
                <c:pt idx="125">
                  <c:v>7</c:v>
                </c:pt>
                <c:pt idx="126">
                  <c:v>10</c:v>
                </c:pt>
                <c:pt idx="127">
                  <c:v>14</c:v>
                </c:pt>
                <c:pt idx="128">
                  <c:v>7</c:v>
                </c:pt>
                <c:pt idx="129">
                  <c:v>2</c:v>
                </c:pt>
                <c:pt idx="130">
                  <c:v>21</c:v>
                </c:pt>
                <c:pt idx="131">
                  <c:v>3</c:v>
                </c:pt>
                <c:pt idx="132">
                  <c:v>7</c:v>
                </c:pt>
                <c:pt idx="133">
                  <c:v>5</c:v>
                </c:pt>
                <c:pt idx="134">
                  <c:v>7</c:v>
                </c:pt>
                <c:pt idx="135">
                  <c:v>20</c:v>
                </c:pt>
                <c:pt idx="136">
                  <c:v>13</c:v>
                </c:pt>
                <c:pt idx="137">
                  <c:v>25</c:v>
                </c:pt>
                <c:pt idx="138">
                  <c:v>20</c:v>
                </c:pt>
                <c:pt idx="139">
                  <c:v>7</c:v>
                </c:pt>
                <c:pt idx="140">
                  <c:v>13</c:v>
                </c:pt>
                <c:pt idx="141">
                  <c:v>3</c:v>
                </c:pt>
                <c:pt idx="142">
                  <c:v>3</c:v>
                </c:pt>
                <c:pt idx="143">
                  <c:v>7</c:v>
                </c:pt>
                <c:pt idx="144">
                  <c:v>16</c:v>
                </c:pt>
                <c:pt idx="145">
                  <c:v>2</c:v>
                </c:pt>
                <c:pt idx="146">
                  <c:v>8</c:v>
                </c:pt>
                <c:pt idx="147">
                  <c:v>16</c:v>
                </c:pt>
                <c:pt idx="148">
                  <c:v>3</c:v>
                </c:pt>
                <c:pt idx="149">
                  <c:v>3</c:v>
                </c:pt>
                <c:pt idx="150">
                  <c:v>5</c:v>
                </c:pt>
                <c:pt idx="151">
                  <c:v>10</c:v>
                </c:pt>
                <c:pt idx="152">
                  <c:v>13</c:v>
                </c:pt>
                <c:pt idx="153">
                  <c:v>16</c:v>
                </c:pt>
                <c:pt idx="154">
                  <c:v>12</c:v>
                </c:pt>
                <c:pt idx="155">
                  <c:v>17</c:v>
                </c:pt>
                <c:pt idx="156">
                  <c:v>6</c:v>
                </c:pt>
                <c:pt idx="157">
                  <c:v>13</c:v>
                </c:pt>
                <c:pt idx="158">
                  <c:v>3</c:v>
                </c:pt>
                <c:pt idx="159">
                  <c:v>24</c:v>
                </c:pt>
                <c:pt idx="160">
                  <c:v>1</c:v>
                </c:pt>
                <c:pt idx="161">
                  <c:v>28</c:v>
                </c:pt>
                <c:pt idx="162">
                  <c:v>25</c:v>
                </c:pt>
                <c:pt idx="163">
                  <c:v>29</c:v>
                </c:pt>
                <c:pt idx="164">
                  <c:v>10</c:v>
                </c:pt>
                <c:pt idx="165">
                  <c:v>20</c:v>
                </c:pt>
                <c:pt idx="166">
                  <c:v>6</c:v>
                </c:pt>
                <c:pt idx="167">
                  <c:v>7</c:v>
                </c:pt>
                <c:pt idx="168">
                  <c:v>1</c:v>
                </c:pt>
              </c:numCache>
            </c:numRef>
          </c:yVal>
        </c:ser>
        <c:dLbls/>
        <c:axId val="156073344"/>
        <c:axId val="156087808"/>
      </c:scatterChart>
      <c:valAx>
        <c:axId val="156073344"/>
        <c:scaling>
          <c:orientation val="minMax"/>
          <c:max val="1"/>
        </c:scaling>
        <c:axPos val="b"/>
        <c:title>
          <c:tx>
            <c:rich>
              <a:bodyPr rot="0" vert="horz"/>
              <a:lstStyle/>
              <a:p>
                <a:pPr>
                  <a:defRPr sz="900">
                    <a:solidFill>
                      <a:srgbClr val="000000"/>
                    </a:solidFill>
                  </a:defRPr>
                </a:pPr>
                <a:r>
                  <a:rPr lang="es-ES" sz="900"/>
                  <a:t>Ratio entre el número de personas</a:t>
                </a:r>
                <a:r>
                  <a:rPr lang="es-ES" sz="900" baseline="0"/>
                  <a:t> con discapacidad con especiales dificultades y el número de PCD empleadas por el CEE</a:t>
                </a:r>
                <a:endParaRPr lang="es-ES" sz="900"/>
              </a:p>
            </c:rich>
          </c:tx>
          <c:layout>
            <c:manualLayout>
              <c:xMode val="edge"/>
              <c:yMode val="edge"/>
              <c:x val="0.10326021438424024"/>
              <c:y val="0.91936200371095966"/>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6087808"/>
        <c:crosses val="autoZero"/>
        <c:crossBetween val="midCat"/>
      </c:valAx>
      <c:valAx>
        <c:axId val="156087808"/>
        <c:scaling>
          <c:orientation val="minMax"/>
        </c:scaling>
        <c:axPos val="l"/>
        <c:title>
          <c:tx>
            <c:rich>
              <a:bodyPr rot="-5400000" vert="horz"/>
              <a:lstStyle/>
              <a:p>
                <a:pPr>
                  <a:defRPr sz="900">
                    <a:solidFill>
                      <a:srgbClr val="000000"/>
                    </a:solidFill>
                  </a:defRPr>
                </a:pPr>
                <a:r>
                  <a:rPr lang="es-ES" sz="900"/>
                  <a:t>Años</a:t>
                </a:r>
                <a:r>
                  <a:rPr lang="es-ES" sz="900" baseline="0"/>
                  <a:t> de actividad</a:t>
                </a:r>
                <a:endParaRPr lang="es-ES" sz="900"/>
              </a:p>
            </c:rich>
          </c:tx>
          <c:layout>
            <c:manualLayout>
              <c:xMode val="edge"/>
              <c:yMode val="edge"/>
              <c:x val="2.5714285714285714E-2"/>
              <c:y val="0.32011560486757451"/>
            </c:manualLayout>
          </c:layout>
        </c:title>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6073344"/>
        <c:crosses val="autoZero"/>
        <c:crossBetween val="midCat"/>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1100" b="0">
                <a:solidFill>
                  <a:srgbClr val="00338D"/>
                </a:solidFill>
                <a:latin typeface="Arial"/>
                <a:ea typeface="Arial"/>
                <a:cs typeface="Arial"/>
              </a:defRPr>
            </a:pPr>
            <a:r>
              <a:rPr lang="es-ES" sz="1000" b="1"/>
              <a:t>CEEs que tienen más de un 20% de sus empleados con discapacidad con discapacidades elevadas</a:t>
            </a:r>
          </a:p>
        </c:rich>
      </c:tx>
      <c:layout>
        <c:manualLayout>
          <c:xMode val="edge"/>
          <c:yMode val="edge"/>
          <c:x val="0.20605830348554494"/>
          <c:y val="2.334104147762199E-2"/>
        </c:manualLayout>
      </c:layout>
    </c:title>
    <c:plotArea>
      <c:layout>
        <c:manualLayout>
          <c:layoutTarget val="inner"/>
          <c:xMode val="edge"/>
          <c:yMode val="edge"/>
          <c:x val="0.19783614639410949"/>
          <c:y val="0.23270604687927599"/>
          <c:w val="0.66823968171861725"/>
          <c:h val="0.58208250995652122"/>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1100"/>
                </a:pPr>
                <a:endParaRPr lang="es-ES"/>
              </a:p>
            </c:txPr>
            <c:dLblPos val="ctr"/>
            <c:showVal val="1"/>
            <c:extLst>
              <c:ext xmlns:c15="http://schemas.microsoft.com/office/drawing/2012/chart" uri="{CE6537A1-D6FC-4f65-9D91-7224C49458BB}">
                <c15:showLeaderLines val="0"/>
              </c:ext>
            </c:extLst>
          </c:dLbls>
          <c:cat>
            <c:strRef>
              <c:f>'Indicadores Sociales'!$Q$63:$Q$65</c:f>
              <c:strCache>
                <c:ptCount val="3"/>
                <c:pt idx="0">
                  <c:v>Todos los CEEs</c:v>
                </c:pt>
                <c:pt idx="1">
                  <c:v>Iniciativa Social</c:v>
                </c:pt>
                <c:pt idx="2">
                  <c:v>Iniciativa Empresarial</c:v>
                </c:pt>
              </c:strCache>
            </c:strRef>
          </c:cat>
          <c:val>
            <c:numRef>
              <c:f>'Indicadores Sociales'!$R$63:$R$65</c:f>
              <c:numCache>
                <c:formatCode>0%</c:formatCode>
                <c:ptCount val="3"/>
                <c:pt idx="0">
                  <c:v>0.62000000000000011</c:v>
                </c:pt>
                <c:pt idx="1">
                  <c:v>0.88</c:v>
                </c:pt>
                <c:pt idx="2">
                  <c:v>0.51</c:v>
                </c:pt>
              </c:numCache>
            </c:numRef>
          </c:val>
        </c:ser>
        <c:dLbls/>
        <c:gapWidth val="40"/>
        <c:axId val="156382336"/>
        <c:axId val="156383872"/>
      </c:barChart>
      <c:catAx>
        <c:axId val="156382336"/>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56383872"/>
        <c:crosses val="autoZero"/>
        <c:auto val="1"/>
        <c:lblAlgn val="ctr"/>
        <c:lblOffset val="100"/>
      </c:catAx>
      <c:valAx>
        <c:axId val="156383872"/>
        <c:scaling>
          <c:orientation val="minMax"/>
        </c:scaling>
        <c:axPos val="l"/>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56382336"/>
        <c:crosses val="autoZero"/>
        <c:crossBetween val="between"/>
      </c:valAx>
      <c:spPr>
        <a:noFill/>
        <a:ln w="25400">
          <a:noFill/>
        </a:ln>
      </c:spPr>
    </c:plotArea>
    <c:plotVisOnly val="1"/>
    <c:dispBlanksAs val="gap"/>
  </c:chart>
  <c:spPr>
    <a:solidFill>
      <a:schemeClr val="bg1"/>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1000" b="1">
                <a:solidFill>
                  <a:srgbClr val="00338D"/>
                </a:solidFill>
                <a:latin typeface="Arial"/>
                <a:ea typeface="Arial"/>
                <a:cs typeface="Arial"/>
              </a:defRPr>
            </a:pPr>
            <a:r>
              <a:rPr lang="es-ES" sz="1000"/>
              <a:t>Porcentaje de CEEs por población</a:t>
            </a:r>
            <a:r>
              <a:rPr lang="es-ES" sz="1000" baseline="0"/>
              <a:t> del municipio en el que se sitúan</a:t>
            </a:r>
            <a:endParaRPr lang="es-ES" sz="1000"/>
          </a:p>
        </c:rich>
      </c:tx>
      <c:layout>
        <c:manualLayout>
          <c:xMode val="edge"/>
          <c:yMode val="edge"/>
          <c:x val="0.14347269352837186"/>
          <c:y val="1.4995962043206138E-2"/>
        </c:manualLayout>
      </c:layout>
    </c:title>
    <c:plotArea>
      <c:layout>
        <c:manualLayout>
          <c:layoutTarget val="inner"/>
          <c:xMode val="edge"/>
          <c:yMode val="edge"/>
          <c:x val="0.11801557232124266"/>
          <c:y val="0.18825190120465712"/>
          <c:w val="0.78001318439846157"/>
          <c:h val="0.49500705268984385"/>
        </c:manualLayout>
      </c:layout>
      <c:barChart>
        <c:barDir val="col"/>
        <c:grouping val="percentStacked"/>
        <c:ser>
          <c:idx val="0"/>
          <c:order val="0"/>
          <c:tx>
            <c:strRef>
              <c:f>'Disc. elevadas y Pobl.'!$G$267</c:f>
              <c:strCache>
                <c:ptCount val="1"/>
                <c:pt idx="0">
                  <c:v>% de CEEs situados en municipios de menos de 20.000 habitantes</c:v>
                </c:pt>
              </c:strCache>
            </c:strRef>
          </c:tx>
          <c:spPr>
            <a:solidFill>
              <a:srgbClr val="409DAD"/>
            </a:solidFill>
            <a:ln w="3175">
              <a:solidFill>
                <a:srgbClr val="FFFFFF"/>
              </a:solidFill>
              <a:prstDash val="solid"/>
            </a:ln>
          </c:spPr>
          <c:dLbls>
            <c:spPr>
              <a:noFill/>
              <a:ln>
                <a:noFill/>
              </a:ln>
              <a:effectLst/>
            </c:spPr>
            <c:txPr>
              <a:bodyPr/>
              <a:lstStyle/>
              <a:p>
                <a:pPr>
                  <a:defRPr sz="11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Pobl.'!$D$268:$D$270</c:f>
              <c:strCache>
                <c:ptCount val="3"/>
                <c:pt idx="0">
                  <c:v>Iniciativa social</c:v>
                </c:pt>
                <c:pt idx="1">
                  <c:v>Iniciativa empresarial</c:v>
                </c:pt>
                <c:pt idx="2">
                  <c:v>Todos los CEEs</c:v>
                </c:pt>
              </c:strCache>
            </c:strRef>
          </c:cat>
          <c:val>
            <c:numRef>
              <c:f>'Disc. elevadas y Pobl.'!$G$268:$G$270</c:f>
              <c:numCache>
                <c:formatCode>0%</c:formatCode>
                <c:ptCount val="3"/>
                <c:pt idx="0">
                  <c:v>0.24000000000000002</c:v>
                </c:pt>
                <c:pt idx="1">
                  <c:v>0.40677966101694923</c:v>
                </c:pt>
                <c:pt idx="2">
                  <c:v>0.35714285714285726</c:v>
                </c:pt>
              </c:numCache>
            </c:numRef>
          </c:val>
        </c:ser>
        <c:ser>
          <c:idx val="1"/>
          <c:order val="1"/>
          <c:tx>
            <c:strRef>
              <c:f>'Disc. elevadas y Pobl.'!$I$267</c:f>
              <c:strCache>
                <c:ptCount val="1"/>
                <c:pt idx="0">
                  <c:v>% de CEEs situados en municipios de más de 20.000 habitantes</c:v>
                </c:pt>
              </c:strCache>
            </c:strRef>
          </c:tx>
          <c:dLbls>
            <c:spPr>
              <a:noFill/>
              <a:ln>
                <a:noFill/>
              </a:ln>
              <a:effectLst/>
            </c:spPr>
            <c:txPr>
              <a:bodyPr/>
              <a:lstStyle/>
              <a:p>
                <a:pPr>
                  <a:defRPr sz="11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Pobl.'!$D$268:$D$270</c:f>
              <c:strCache>
                <c:ptCount val="3"/>
                <c:pt idx="0">
                  <c:v>Iniciativa social</c:v>
                </c:pt>
                <c:pt idx="1">
                  <c:v>Iniciativa empresarial</c:v>
                </c:pt>
                <c:pt idx="2">
                  <c:v>Todos los CEEs</c:v>
                </c:pt>
              </c:strCache>
            </c:strRef>
          </c:cat>
          <c:val>
            <c:numRef>
              <c:f>'Disc. elevadas y Pobl.'!$I$268:$I$270</c:f>
              <c:numCache>
                <c:formatCode>0%</c:formatCode>
                <c:ptCount val="3"/>
                <c:pt idx="0">
                  <c:v>0.76000000000000012</c:v>
                </c:pt>
                <c:pt idx="1">
                  <c:v>0.59322033898305071</c:v>
                </c:pt>
                <c:pt idx="2">
                  <c:v>0.6428571428571429</c:v>
                </c:pt>
              </c:numCache>
            </c:numRef>
          </c:val>
        </c:ser>
        <c:dLbls/>
        <c:gapWidth val="40"/>
        <c:overlap val="100"/>
        <c:axId val="156466560"/>
        <c:axId val="156472448"/>
      </c:barChart>
      <c:catAx>
        <c:axId val="156466560"/>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56472448"/>
        <c:crosses val="autoZero"/>
        <c:auto val="1"/>
        <c:lblAlgn val="ctr"/>
        <c:lblOffset val="100"/>
      </c:catAx>
      <c:valAx>
        <c:axId val="156472448"/>
        <c:scaling>
          <c:orientation val="minMax"/>
        </c:scaling>
        <c:axPos val="l"/>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56466560"/>
        <c:crosses val="autoZero"/>
        <c:crossBetween val="between"/>
      </c:valAx>
      <c:spPr>
        <a:noFill/>
        <a:ln w="25400">
          <a:noFill/>
        </a:ln>
      </c:spPr>
    </c:plotArea>
    <c:legend>
      <c:legendPos val="b"/>
      <c:layout>
        <c:manualLayout>
          <c:xMode val="edge"/>
          <c:yMode val="edge"/>
          <c:x val="0.11209852952481358"/>
          <c:y val="0.81220539740224773"/>
          <c:w val="0.79847000296511061"/>
          <c:h val="0.1589366713776163"/>
        </c:manualLayout>
      </c:layout>
      <c:spPr>
        <a:noFill/>
        <a:ln w="25400">
          <a:noFill/>
        </a:ln>
      </c:spPr>
      <c:txPr>
        <a:bodyPr/>
        <a:lstStyle/>
        <a:p>
          <a:pPr>
            <a:defRPr sz="850">
              <a:solidFill>
                <a:srgbClr val="000000"/>
              </a:solidFill>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1000" b="1">
                <a:solidFill>
                  <a:srgbClr val="00338D"/>
                </a:solidFill>
                <a:latin typeface="Arial"/>
                <a:ea typeface="Arial"/>
                <a:cs typeface="Arial"/>
              </a:defRPr>
            </a:pPr>
            <a:r>
              <a:rPr lang="es-ES" sz="1000" baseline="0"/>
              <a:t>Número de CEEs por población del municipio en el que se sitúan </a:t>
            </a:r>
            <a:endParaRPr lang="es-ES" sz="1000"/>
          </a:p>
        </c:rich>
      </c:tx>
      <c:layout>
        <c:manualLayout>
          <c:xMode val="edge"/>
          <c:yMode val="edge"/>
          <c:x val="0.13611274494302669"/>
          <c:y val="1.8163341620089049E-2"/>
        </c:manualLayout>
      </c:layout>
    </c:title>
    <c:plotArea>
      <c:layout>
        <c:manualLayout>
          <c:layoutTarget val="inner"/>
          <c:xMode val="edge"/>
          <c:yMode val="edge"/>
          <c:x val="0.11801557232124274"/>
          <c:y val="0.18825190120465712"/>
          <c:w val="0.79620322014524214"/>
          <c:h val="0.52881210998001948"/>
        </c:manualLayout>
      </c:layout>
      <c:barChart>
        <c:barDir val="col"/>
        <c:grouping val="stacked"/>
        <c:ser>
          <c:idx val="0"/>
          <c:order val="0"/>
          <c:tx>
            <c:strRef>
              <c:f>'Disc. elevadas y Pobl.'!$F$267</c:f>
              <c:strCache>
                <c:ptCount val="1"/>
                <c:pt idx="0">
                  <c:v>Número de CEEs situados en municipios de menos de 20.000 habitantes</c:v>
                </c:pt>
              </c:strCache>
            </c:strRef>
          </c:tx>
          <c:spPr>
            <a:solidFill>
              <a:srgbClr val="409DAD"/>
            </a:solidFill>
            <a:ln w="3175">
              <a:solidFill>
                <a:srgbClr val="FFFFFF"/>
              </a:solidFill>
              <a:prstDash val="solid"/>
            </a:ln>
          </c:spPr>
          <c:dLbls>
            <c:spPr>
              <a:noFill/>
              <a:ln>
                <a:noFill/>
              </a:ln>
              <a:effectLst/>
            </c:spPr>
            <c:txPr>
              <a:bodyPr/>
              <a:lstStyle/>
              <a:p>
                <a:pPr>
                  <a:defRPr sz="10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Pobl.'!$D$268:$D$270</c:f>
              <c:strCache>
                <c:ptCount val="3"/>
                <c:pt idx="0">
                  <c:v>Iniciativa social</c:v>
                </c:pt>
                <c:pt idx="1">
                  <c:v>Iniciativa empresarial</c:v>
                </c:pt>
                <c:pt idx="2">
                  <c:v>Todos los CEEs</c:v>
                </c:pt>
              </c:strCache>
            </c:strRef>
          </c:cat>
          <c:val>
            <c:numRef>
              <c:f>'Disc. elevadas y Pobl.'!$F$268:$F$270</c:f>
              <c:numCache>
                <c:formatCode>General</c:formatCode>
                <c:ptCount val="3"/>
                <c:pt idx="0">
                  <c:v>12</c:v>
                </c:pt>
                <c:pt idx="1">
                  <c:v>48</c:v>
                </c:pt>
                <c:pt idx="2">
                  <c:v>60</c:v>
                </c:pt>
              </c:numCache>
            </c:numRef>
          </c:val>
        </c:ser>
        <c:ser>
          <c:idx val="1"/>
          <c:order val="1"/>
          <c:tx>
            <c:strRef>
              <c:f>'Disc. elevadas y Pobl.'!$H$267</c:f>
              <c:strCache>
                <c:ptCount val="1"/>
                <c:pt idx="0">
                  <c:v>Número de CEEs situados en municipios de más de 20.000 habitantes</c:v>
                </c:pt>
              </c:strCache>
            </c:strRef>
          </c:tx>
          <c:dLbls>
            <c:spPr>
              <a:noFill/>
              <a:ln>
                <a:noFill/>
              </a:ln>
              <a:effectLst/>
            </c:spPr>
            <c:txPr>
              <a:bodyPr/>
              <a:lstStyle/>
              <a:p>
                <a:pPr>
                  <a:defRPr sz="10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Pobl.'!$D$268:$D$270</c:f>
              <c:strCache>
                <c:ptCount val="3"/>
                <c:pt idx="0">
                  <c:v>Iniciativa social</c:v>
                </c:pt>
                <c:pt idx="1">
                  <c:v>Iniciativa empresarial</c:v>
                </c:pt>
                <c:pt idx="2">
                  <c:v>Todos los CEEs</c:v>
                </c:pt>
              </c:strCache>
            </c:strRef>
          </c:cat>
          <c:val>
            <c:numRef>
              <c:f>'Disc. elevadas y Pobl.'!$H$268:$H$270</c:f>
              <c:numCache>
                <c:formatCode>General</c:formatCode>
                <c:ptCount val="3"/>
                <c:pt idx="0">
                  <c:v>38</c:v>
                </c:pt>
                <c:pt idx="1">
                  <c:v>70</c:v>
                </c:pt>
                <c:pt idx="2">
                  <c:v>108</c:v>
                </c:pt>
              </c:numCache>
            </c:numRef>
          </c:val>
        </c:ser>
        <c:dLbls/>
        <c:gapWidth val="40"/>
        <c:overlap val="100"/>
        <c:axId val="157780224"/>
        <c:axId val="157798400"/>
      </c:barChart>
      <c:catAx>
        <c:axId val="157780224"/>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57798400"/>
        <c:crosses val="autoZero"/>
        <c:auto val="1"/>
        <c:lblAlgn val="ctr"/>
        <c:lblOffset val="100"/>
      </c:catAx>
      <c:valAx>
        <c:axId val="157798400"/>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57780224"/>
        <c:crosses val="autoZero"/>
        <c:crossBetween val="between"/>
      </c:valAx>
      <c:spPr>
        <a:noFill/>
        <a:ln w="25400">
          <a:noFill/>
        </a:ln>
      </c:spPr>
    </c:plotArea>
    <c:legend>
      <c:legendPos val="b"/>
      <c:layout>
        <c:manualLayout>
          <c:xMode val="edge"/>
          <c:yMode val="edge"/>
          <c:x val="0.11342179396612624"/>
          <c:y val="0.83857318176524842"/>
          <c:w val="0.78873225184201357"/>
          <c:h val="0.11718026055954923"/>
        </c:manualLayout>
      </c:layout>
      <c:spPr>
        <a:noFill/>
        <a:ln w="25400">
          <a:noFill/>
        </a:ln>
      </c:spPr>
      <c:txPr>
        <a:bodyPr/>
        <a:lstStyle/>
        <a:p>
          <a:pPr>
            <a:defRPr>
              <a:solidFill>
                <a:srgbClr val="000000"/>
              </a:solidFill>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1000" b="1">
                <a:solidFill>
                  <a:srgbClr val="00338D"/>
                </a:solidFill>
                <a:latin typeface="Arial"/>
                <a:ea typeface="Arial"/>
                <a:cs typeface="Arial"/>
              </a:defRPr>
            </a:pPr>
            <a:r>
              <a:rPr lang="es-ES" sz="1000" baseline="0"/>
              <a:t>Número de personas con discapacidad por población del municipio en el que trabajan </a:t>
            </a:r>
            <a:endParaRPr lang="es-ES" sz="1000"/>
          </a:p>
        </c:rich>
      </c:tx>
      <c:layout>
        <c:manualLayout>
          <c:xMode val="edge"/>
          <c:yMode val="edge"/>
          <c:x val="0.13611274494302669"/>
          <c:y val="1.8163341620089049E-2"/>
        </c:manualLayout>
      </c:layout>
    </c:title>
    <c:plotArea>
      <c:layout>
        <c:manualLayout>
          <c:layoutTarget val="inner"/>
          <c:xMode val="edge"/>
          <c:yMode val="edge"/>
          <c:x val="0.11801557232124271"/>
          <c:y val="0.18825190120465712"/>
          <c:w val="0.78001318439846157"/>
          <c:h val="0.49500705268984407"/>
        </c:manualLayout>
      </c:layout>
      <c:barChart>
        <c:barDir val="col"/>
        <c:grouping val="stacked"/>
        <c:ser>
          <c:idx val="0"/>
          <c:order val="0"/>
          <c:tx>
            <c:strRef>
              <c:f>'Disc. elevadas y Pobl.'!$F$271</c:f>
              <c:strCache>
                <c:ptCount val="1"/>
                <c:pt idx="0">
                  <c:v>Número de  PCD empleadas en CEEs de municipios de menos de 20.000 habitantes</c:v>
                </c:pt>
              </c:strCache>
            </c:strRef>
          </c:tx>
          <c:spPr>
            <a:solidFill>
              <a:srgbClr val="409DAD"/>
            </a:solidFill>
            <a:ln w="3175">
              <a:solidFill>
                <a:srgbClr val="FFFFFF"/>
              </a:solidFill>
              <a:prstDash val="solid"/>
            </a:ln>
          </c:spPr>
          <c:dLbls>
            <c:spPr>
              <a:noFill/>
              <a:ln>
                <a:noFill/>
              </a:ln>
              <a:effectLst/>
            </c:spPr>
            <c:txPr>
              <a:bodyPr/>
              <a:lstStyle/>
              <a:p>
                <a:pPr>
                  <a:defRPr sz="10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Pobl.'!$D$272:$D$274</c:f>
              <c:strCache>
                <c:ptCount val="3"/>
                <c:pt idx="0">
                  <c:v>Iniciativa social</c:v>
                </c:pt>
                <c:pt idx="1">
                  <c:v>Iniciativa empresarial</c:v>
                </c:pt>
                <c:pt idx="2">
                  <c:v>Todos los centros</c:v>
                </c:pt>
              </c:strCache>
            </c:strRef>
          </c:cat>
          <c:val>
            <c:numRef>
              <c:f>'Disc. elevadas y Pobl.'!$F$272:$F$274</c:f>
              <c:numCache>
                <c:formatCode>General</c:formatCode>
                <c:ptCount val="3"/>
                <c:pt idx="0">
                  <c:v>526</c:v>
                </c:pt>
                <c:pt idx="1">
                  <c:v>465</c:v>
                </c:pt>
                <c:pt idx="2">
                  <c:v>991</c:v>
                </c:pt>
              </c:numCache>
            </c:numRef>
          </c:val>
        </c:ser>
        <c:ser>
          <c:idx val="1"/>
          <c:order val="1"/>
          <c:tx>
            <c:strRef>
              <c:f>'Disc. elevadas y Pobl.'!$H$271</c:f>
              <c:strCache>
                <c:ptCount val="1"/>
                <c:pt idx="0">
                  <c:v>Número de PCD empleadas en CEEs en municipios de más de 20.000 habitantes</c:v>
                </c:pt>
              </c:strCache>
            </c:strRef>
          </c:tx>
          <c:dLbls>
            <c:spPr>
              <a:noFill/>
              <a:ln>
                <a:noFill/>
              </a:ln>
              <a:effectLst/>
            </c:spPr>
            <c:txPr>
              <a:bodyPr/>
              <a:lstStyle/>
              <a:p>
                <a:pPr>
                  <a:defRPr sz="10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Pobl.'!$D$272:$D$274</c:f>
              <c:strCache>
                <c:ptCount val="3"/>
                <c:pt idx="0">
                  <c:v>Iniciativa social</c:v>
                </c:pt>
                <c:pt idx="1">
                  <c:v>Iniciativa empresarial</c:v>
                </c:pt>
                <c:pt idx="2">
                  <c:v>Todos los centros</c:v>
                </c:pt>
              </c:strCache>
            </c:strRef>
          </c:cat>
          <c:val>
            <c:numRef>
              <c:f>'Disc. elevadas y Pobl.'!$H$272:$H$274</c:f>
              <c:numCache>
                <c:formatCode>General</c:formatCode>
                <c:ptCount val="3"/>
                <c:pt idx="0">
                  <c:v>1714</c:v>
                </c:pt>
                <c:pt idx="1">
                  <c:v>1322</c:v>
                </c:pt>
                <c:pt idx="2">
                  <c:v>3036</c:v>
                </c:pt>
              </c:numCache>
            </c:numRef>
          </c:val>
        </c:ser>
        <c:dLbls/>
        <c:gapWidth val="40"/>
        <c:overlap val="100"/>
        <c:axId val="158094464"/>
        <c:axId val="158096000"/>
      </c:barChart>
      <c:catAx>
        <c:axId val="158094464"/>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58096000"/>
        <c:crosses val="autoZero"/>
        <c:auto val="1"/>
        <c:lblAlgn val="ctr"/>
        <c:lblOffset val="100"/>
      </c:catAx>
      <c:valAx>
        <c:axId val="158096000"/>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58094464"/>
        <c:crosses val="autoZero"/>
        <c:crossBetween val="between"/>
      </c:valAx>
      <c:spPr>
        <a:noFill/>
        <a:ln w="25400">
          <a:noFill/>
        </a:ln>
      </c:spPr>
    </c:plotArea>
    <c:legend>
      <c:legendPos val="b"/>
      <c:layout>
        <c:manualLayout>
          <c:xMode val="edge"/>
          <c:yMode val="edge"/>
          <c:x val="6.7591310122379289E-2"/>
          <c:y val="0.79832916473676063"/>
          <c:w val="0.88506424648726123"/>
          <c:h val="0.14976933765632247"/>
        </c:manualLayout>
      </c:layout>
      <c:spPr>
        <a:noFill/>
        <a:ln w="25400">
          <a:noFill/>
        </a:ln>
      </c:spPr>
      <c:txPr>
        <a:bodyPr/>
        <a:lstStyle/>
        <a:p>
          <a:pPr>
            <a:defRPr sz="800">
              <a:solidFill>
                <a:srgbClr val="000000"/>
              </a:solidFill>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8275973003374579"/>
          <c:y val="0.16482569792412313"/>
          <c:w val="0.7010260967379075"/>
          <c:h val="0.70335612025769456"/>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Sheet2!$B$2:$B$6</c:f>
              <c:strCache>
                <c:ptCount val="5"/>
                <c:pt idx="0">
                  <c:v>Mucho</c:v>
                </c:pt>
                <c:pt idx="1">
                  <c:v>Bastante</c:v>
                </c:pt>
                <c:pt idx="2">
                  <c:v>Algo</c:v>
                </c:pt>
                <c:pt idx="3">
                  <c:v>Poco</c:v>
                </c:pt>
                <c:pt idx="4">
                  <c:v>Nada</c:v>
                </c:pt>
              </c:strCache>
            </c:strRef>
          </c:cat>
          <c:val>
            <c:numRef>
              <c:f>Sheet2!$C$2:$C$6</c:f>
              <c:numCache>
                <c:formatCode>General</c:formatCode>
                <c:ptCount val="5"/>
                <c:pt idx="0">
                  <c:v>95</c:v>
                </c:pt>
                <c:pt idx="1">
                  <c:v>33</c:v>
                </c:pt>
                <c:pt idx="2">
                  <c:v>1</c:v>
                </c:pt>
                <c:pt idx="3">
                  <c:v>1</c:v>
                </c:pt>
                <c:pt idx="4">
                  <c:v>0</c:v>
                </c:pt>
              </c:numCache>
            </c:numRef>
          </c:val>
        </c:ser>
        <c:dLbls/>
        <c:gapWidth val="40"/>
        <c:axId val="158124672"/>
        <c:axId val="158179712"/>
      </c:barChart>
      <c:catAx>
        <c:axId val="158124672"/>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179712"/>
        <c:crossesAt val="0"/>
        <c:auto val="1"/>
        <c:lblAlgn val="ctr"/>
        <c:lblOffset val="100"/>
      </c:catAx>
      <c:valAx>
        <c:axId val="158179712"/>
        <c:scaling>
          <c:orientation val="minMax"/>
        </c:scaling>
        <c:axPos val="t"/>
        <c:title>
          <c:tx>
            <c:rich>
              <a:bodyPr/>
              <a:lstStyle/>
              <a:p>
                <a:pPr>
                  <a:defRPr>
                    <a:solidFill>
                      <a:srgbClr val="000000"/>
                    </a:solidFill>
                  </a:defRPr>
                </a:pPr>
                <a:r>
                  <a:rPr lang="en-US"/>
                  <a:t>%</a:t>
                </a:r>
              </a:p>
            </c:rich>
          </c:tx>
        </c:title>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58124672"/>
        <c:crossesAt val="1"/>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33342304884014218"/>
          <c:y val="0.12429699622992621"/>
          <c:w val="0.57743673532622408"/>
          <c:h val="0.79636759781753252"/>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Sheet2!$A$25:$A$33</c:f>
              <c:strCache>
                <c:ptCount val="9"/>
                <c:pt idx="0">
                  <c:v>Bienestar emocional</c:v>
                </c:pt>
                <c:pt idx="1">
                  <c:v>Relaciones interpersonales</c:v>
                </c:pt>
                <c:pt idx="2">
                  <c:v>Bienestar material</c:v>
                </c:pt>
                <c:pt idx="3">
                  <c:v>Desarrollo personal</c:v>
                </c:pt>
                <c:pt idx="4">
                  <c:v>Desarrollo profesional-Cualificación</c:v>
                </c:pt>
                <c:pt idx="5">
                  <c:v>Bienestar físico</c:v>
                </c:pt>
                <c:pt idx="6">
                  <c:v>Autodeterminación</c:v>
                </c:pt>
                <c:pt idx="7">
                  <c:v>Inclusión social</c:v>
                </c:pt>
                <c:pt idx="8">
                  <c:v>Derechos</c:v>
                </c:pt>
              </c:strCache>
            </c:strRef>
          </c:cat>
          <c:val>
            <c:numRef>
              <c:f>Sheet2!$B$25:$B$33</c:f>
              <c:numCache>
                <c:formatCode>General</c:formatCode>
                <c:ptCount val="9"/>
                <c:pt idx="0">
                  <c:v>79</c:v>
                </c:pt>
                <c:pt idx="1">
                  <c:v>45</c:v>
                </c:pt>
                <c:pt idx="2">
                  <c:v>41</c:v>
                </c:pt>
                <c:pt idx="3">
                  <c:v>78</c:v>
                </c:pt>
                <c:pt idx="4">
                  <c:v>46</c:v>
                </c:pt>
                <c:pt idx="5">
                  <c:v>7</c:v>
                </c:pt>
                <c:pt idx="6">
                  <c:v>14</c:v>
                </c:pt>
                <c:pt idx="7">
                  <c:v>65</c:v>
                </c:pt>
                <c:pt idx="8">
                  <c:v>15</c:v>
                </c:pt>
              </c:numCache>
            </c:numRef>
          </c:val>
        </c:ser>
        <c:dLbls/>
        <c:gapWidth val="40"/>
        <c:axId val="158470144"/>
        <c:axId val="158471680"/>
      </c:barChart>
      <c:catAx>
        <c:axId val="158470144"/>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471680"/>
        <c:crosses val="autoZero"/>
        <c:auto val="1"/>
        <c:lblAlgn val="ctr"/>
        <c:lblOffset val="100"/>
      </c:catAx>
      <c:valAx>
        <c:axId val="158471680"/>
        <c:scaling>
          <c:orientation val="minMax"/>
        </c:scaling>
        <c:axPos val="t"/>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58470144"/>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2536708105285291"/>
          <c:y val="9.0686709615843478E-2"/>
          <c:w val="0.83222899273269235"/>
          <c:h val="0.72432348653040124"/>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Sheet2!$A$162:$A$164</c:f>
              <c:strCache>
                <c:ptCount val="3"/>
                <c:pt idx="0">
                  <c:v>Si</c:v>
                </c:pt>
                <c:pt idx="1">
                  <c:v>No</c:v>
                </c:pt>
                <c:pt idx="2">
                  <c:v>Ns/nc</c:v>
                </c:pt>
              </c:strCache>
            </c:strRef>
          </c:cat>
          <c:val>
            <c:numRef>
              <c:f>Sheet2!$B$162:$B$164</c:f>
              <c:numCache>
                <c:formatCode>General</c:formatCode>
                <c:ptCount val="3"/>
                <c:pt idx="0">
                  <c:v>22</c:v>
                </c:pt>
                <c:pt idx="1">
                  <c:v>80</c:v>
                </c:pt>
                <c:pt idx="2">
                  <c:v>28</c:v>
                </c:pt>
              </c:numCache>
            </c:numRef>
          </c:val>
        </c:ser>
        <c:dLbls/>
        <c:gapWidth val="40"/>
        <c:axId val="158487296"/>
        <c:axId val="158488832"/>
      </c:barChart>
      <c:catAx>
        <c:axId val="158487296"/>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488832"/>
        <c:crossesAt val="0"/>
        <c:auto val="1"/>
        <c:lblAlgn val="ctr"/>
        <c:lblOffset val="100"/>
      </c:catAx>
      <c:valAx>
        <c:axId val="158488832"/>
        <c:scaling>
          <c:orientation val="minMax"/>
          <c:max val="90"/>
        </c:scaling>
        <c:axPos val="t"/>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58487296"/>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n-US" baseline="0"/>
              <a:t>Distribución de calificaciones globales</a:t>
            </a:r>
            <a:endParaRPr lang="en-US"/>
          </a:p>
        </c:rich>
      </c:tx>
      <c:layout>
        <c:manualLayout>
          <c:xMode val="edge"/>
          <c:yMode val="edge"/>
          <c:x val="0.29142857142857154"/>
          <c:y val="0"/>
        </c:manualLayout>
      </c:layout>
      <c:spPr>
        <a:noFill/>
        <a:ln>
          <a:noFill/>
        </a:ln>
        <a:effectLst/>
      </c:spPr>
    </c:title>
    <c:plotArea>
      <c:layout>
        <c:manualLayout>
          <c:layoutTarget val="inner"/>
          <c:xMode val="edge"/>
          <c:yMode val="edge"/>
          <c:x val="0.11794510686164229"/>
          <c:y val="0.15212491052254831"/>
          <c:w val="0.77919775028121485"/>
          <c:h val="0.71941302791696471"/>
        </c:manualLayout>
      </c:layout>
      <c:barChart>
        <c:barDir val="col"/>
        <c:grouping val="clustered"/>
        <c:ser>
          <c:idx val="0"/>
          <c:order val="0"/>
          <c:tx>
            <c:strRef>
              <c:f>Histogramas!$D$2</c:f>
              <c:strCache>
                <c:ptCount val="1"/>
                <c:pt idx="0">
                  <c:v>Centros</c:v>
                </c:pt>
              </c:strCache>
            </c:strRef>
          </c:tx>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Histogramas!$C$3:$C$8</c:f>
              <c:strCache>
                <c:ptCount val="6"/>
                <c:pt idx="0">
                  <c:v>30-40</c:v>
                </c:pt>
                <c:pt idx="1">
                  <c:v>40-50</c:v>
                </c:pt>
                <c:pt idx="2">
                  <c:v>50-60</c:v>
                </c:pt>
                <c:pt idx="3">
                  <c:v>60-70</c:v>
                </c:pt>
                <c:pt idx="4">
                  <c:v>70-80</c:v>
                </c:pt>
                <c:pt idx="5">
                  <c:v>80-90</c:v>
                </c:pt>
              </c:strCache>
            </c:strRef>
          </c:cat>
          <c:val>
            <c:numRef>
              <c:f>Histogramas!$D$3:$D$8</c:f>
              <c:numCache>
                <c:formatCode>General</c:formatCode>
                <c:ptCount val="6"/>
                <c:pt idx="0">
                  <c:v>7</c:v>
                </c:pt>
                <c:pt idx="1">
                  <c:v>27</c:v>
                </c:pt>
                <c:pt idx="2">
                  <c:v>37</c:v>
                </c:pt>
                <c:pt idx="3">
                  <c:v>38</c:v>
                </c:pt>
                <c:pt idx="4">
                  <c:v>25</c:v>
                </c:pt>
                <c:pt idx="5">
                  <c:v>11</c:v>
                </c:pt>
              </c:numCache>
            </c:numRef>
          </c:val>
        </c:ser>
        <c:dLbls>
          <c:showVal val="1"/>
        </c:dLbls>
        <c:gapWidth val="40"/>
        <c:axId val="119873536"/>
        <c:axId val="119875072"/>
      </c:barChart>
      <c:catAx>
        <c:axId val="119873536"/>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19875072"/>
        <c:crosses val="autoZero"/>
        <c:auto val="1"/>
        <c:lblAlgn val="ctr"/>
        <c:lblOffset val="100"/>
      </c:catAx>
      <c:valAx>
        <c:axId val="119875072"/>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2.5714285714285714E-2"/>
              <c:y val="0.3204108804581246"/>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19873536"/>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2536708105285291"/>
          <c:y val="9.0686709615843478E-2"/>
          <c:w val="0.79872822098788065"/>
          <c:h val="0.72432348653040124"/>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Sheet2!$A$98</c:f>
              <c:strCache>
                <c:ptCount val="1"/>
                <c:pt idx="0">
                  <c:v>Media</c:v>
                </c:pt>
              </c:strCache>
            </c:strRef>
          </c:cat>
          <c:val>
            <c:numRef>
              <c:f>Sheet2!$B$98</c:f>
              <c:numCache>
                <c:formatCode>0.00</c:formatCode>
                <c:ptCount val="1"/>
                <c:pt idx="0">
                  <c:v>6.94</c:v>
                </c:pt>
              </c:numCache>
            </c:numRef>
          </c:val>
        </c:ser>
        <c:dLbls/>
        <c:gapWidth val="40"/>
        <c:axId val="158545408"/>
        <c:axId val="158546944"/>
      </c:barChart>
      <c:catAx>
        <c:axId val="158545408"/>
        <c:scaling>
          <c:orientation val="minMax"/>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546944"/>
        <c:crossesAt val="0"/>
        <c:auto val="1"/>
        <c:lblAlgn val="ctr"/>
        <c:lblOffset val="100"/>
      </c:catAx>
      <c:valAx>
        <c:axId val="158546944"/>
        <c:scaling>
          <c:orientation val="minMax"/>
          <c:max val="10"/>
        </c:scaling>
        <c:axPos val="b"/>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58545408"/>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2536708105285291"/>
          <c:y val="9.0686709615843478E-2"/>
          <c:w val="0.79872822098788065"/>
          <c:h val="0.72432348653040135"/>
        </c:manualLayout>
      </c:layout>
      <c:barChart>
        <c:barDir val="bar"/>
        <c:grouping val="clustered"/>
        <c:ser>
          <c:idx val="0"/>
          <c:order val="0"/>
          <c:spPr>
            <a:solidFill>
              <a:srgbClr val="409DAD"/>
            </a:solidFill>
            <a:ln w="3175">
              <a:solidFill>
                <a:srgbClr val="FFFFFF"/>
              </a:solidFill>
              <a:prstDash val="solid"/>
            </a:ln>
          </c:spPr>
          <c:dLbls>
            <c:spPr>
              <a:noFill/>
              <a:ln>
                <a:noFill/>
              </a:ln>
              <a:effectLst/>
            </c:spPr>
            <c:showVal val="1"/>
            <c:extLst>
              <c:ext xmlns:c15="http://schemas.microsoft.com/office/drawing/2012/chart" uri="{CE6537A1-D6FC-4f65-9D91-7224C49458BB}">
                <c15:showLeaderLines val="1"/>
              </c:ext>
            </c:extLst>
          </c:dLbls>
          <c:cat>
            <c:strRef>
              <c:f>Sheet2!$A$181</c:f>
              <c:strCache>
                <c:ptCount val="1"/>
                <c:pt idx="0">
                  <c:v>Media</c:v>
                </c:pt>
              </c:strCache>
            </c:strRef>
          </c:cat>
          <c:val>
            <c:numRef>
              <c:f>Sheet2!$B$181</c:f>
              <c:numCache>
                <c:formatCode>0.00</c:formatCode>
                <c:ptCount val="1"/>
                <c:pt idx="0">
                  <c:v>7.2818181818181928</c:v>
                </c:pt>
              </c:numCache>
            </c:numRef>
          </c:val>
        </c:ser>
        <c:dLbls/>
        <c:gapWidth val="40"/>
        <c:axId val="158558464"/>
        <c:axId val="158576640"/>
      </c:barChart>
      <c:catAx>
        <c:axId val="158558464"/>
        <c:scaling>
          <c:orientation val="minMax"/>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576640"/>
        <c:crossesAt val="0"/>
        <c:auto val="1"/>
        <c:lblAlgn val="ctr"/>
        <c:lblOffset val="100"/>
      </c:catAx>
      <c:valAx>
        <c:axId val="158576640"/>
        <c:scaling>
          <c:orientation val="minMax"/>
          <c:max val="10"/>
        </c:scaling>
        <c:axPos val="b"/>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58558464"/>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2536708105285291"/>
          <c:y val="9.0686709615843478E-2"/>
          <c:w val="0.83222899273269235"/>
          <c:h val="0.72432348653040124"/>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Sheet2!$A$102:$A$104</c:f>
              <c:strCache>
                <c:ptCount val="3"/>
                <c:pt idx="0">
                  <c:v>Si</c:v>
                </c:pt>
                <c:pt idx="1">
                  <c:v>No</c:v>
                </c:pt>
                <c:pt idx="2">
                  <c:v>Ns/nc</c:v>
                </c:pt>
              </c:strCache>
            </c:strRef>
          </c:cat>
          <c:val>
            <c:numRef>
              <c:f>Sheet2!$B$102:$B$104</c:f>
              <c:numCache>
                <c:formatCode>General</c:formatCode>
                <c:ptCount val="3"/>
                <c:pt idx="0">
                  <c:v>34</c:v>
                </c:pt>
                <c:pt idx="1">
                  <c:v>75</c:v>
                </c:pt>
                <c:pt idx="2">
                  <c:v>16</c:v>
                </c:pt>
              </c:numCache>
            </c:numRef>
          </c:val>
        </c:ser>
        <c:dLbls/>
        <c:gapWidth val="40"/>
        <c:axId val="158673920"/>
        <c:axId val="158679808"/>
      </c:barChart>
      <c:catAx>
        <c:axId val="158673920"/>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679808"/>
        <c:crossesAt val="0"/>
        <c:auto val="1"/>
        <c:lblAlgn val="ctr"/>
        <c:lblOffset val="100"/>
      </c:catAx>
      <c:valAx>
        <c:axId val="158679808"/>
        <c:scaling>
          <c:orientation val="minMax"/>
          <c:max val="80"/>
        </c:scaling>
        <c:axPos val="t"/>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58673920"/>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3648201667099315"/>
          <c:y val="7.8634930907609174E-2"/>
          <c:w val="0.57743673532622408"/>
          <c:h val="0.9090008269514257"/>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Sheet2!$A$109:$A$119</c:f>
              <c:strCache>
                <c:ptCount val="11"/>
                <c:pt idx="0">
                  <c:v>Reciclado de ropa</c:v>
                </c:pt>
                <c:pt idx="1">
                  <c:v>Reciclado de aceite vegetal</c:v>
                </c:pt>
                <c:pt idx="2">
                  <c:v>Reciclado de aparatos eléctricos y electrónicos</c:v>
                </c:pt>
                <c:pt idx="3">
                  <c:v>Reciclado de residuos sólidos urbanos</c:v>
                </c:pt>
                <c:pt idx="4">
                  <c:v>Reciclado de automóviles</c:v>
                </c:pt>
                <c:pt idx="5">
                  <c:v>Reciclado de chatarra y deshechos de metal</c:v>
                </c:pt>
                <c:pt idx="6">
                  <c:v>Reciclado de deshechos no metálicos</c:v>
                </c:pt>
                <c:pt idx="7">
                  <c:v>Tratamiento de combustibles nucleares y residuos radioactivos</c:v>
                </c:pt>
                <c:pt idx="8">
                  <c:v>Reciclado de papel y destrucción de documentos</c:v>
                </c:pt>
                <c:pt idx="9">
                  <c:v>Actividades de jardinería y medio ambiente</c:v>
                </c:pt>
                <c:pt idx="10">
                  <c:v>Fabricación de Compost y otros abonos</c:v>
                </c:pt>
              </c:strCache>
            </c:strRef>
          </c:cat>
          <c:val>
            <c:numRef>
              <c:f>Sheet2!$B$109:$B$119</c:f>
              <c:numCache>
                <c:formatCode>General</c:formatCode>
                <c:ptCount val="11"/>
                <c:pt idx="0">
                  <c:v>10</c:v>
                </c:pt>
                <c:pt idx="1">
                  <c:v>13</c:v>
                </c:pt>
                <c:pt idx="2">
                  <c:v>10</c:v>
                </c:pt>
                <c:pt idx="3">
                  <c:v>2</c:v>
                </c:pt>
                <c:pt idx="4">
                  <c:v>0</c:v>
                </c:pt>
                <c:pt idx="5">
                  <c:v>5</c:v>
                </c:pt>
                <c:pt idx="6">
                  <c:v>6</c:v>
                </c:pt>
                <c:pt idx="7">
                  <c:v>0</c:v>
                </c:pt>
                <c:pt idx="8">
                  <c:v>10</c:v>
                </c:pt>
                <c:pt idx="9">
                  <c:v>10</c:v>
                </c:pt>
                <c:pt idx="10">
                  <c:v>2</c:v>
                </c:pt>
              </c:numCache>
            </c:numRef>
          </c:val>
        </c:ser>
        <c:dLbls/>
        <c:gapWidth val="40"/>
        <c:axId val="158711808"/>
        <c:axId val="158713344"/>
      </c:barChart>
      <c:catAx>
        <c:axId val="158711808"/>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713344"/>
        <c:crosses val="autoZero"/>
        <c:auto val="1"/>
        <c:lblAlgn val="ctr"/>
        <c:lblOffset val="100"/>
      </c:catAx>
      <c:valAx>
        <c:axId val="158713344"/>
        <c:scaling>
          <c:orientation val="minMax"/>
        </c:scaling>
        <c:axPos val="t"/>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58711808"/>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2536708105285291"/>
          <c:y val="9.0686709615843478E-2"/>
          <c:w val="0.83222899273269235"/>
          <c:h val="0.72432348653040124"/>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Sheet2!$A$141:$A$143</c:f>
              <c:strCache>
                <c:ptCount val="3"/>
                <c:pt idx="0">
                  <c:v>Si</c:v>
                </c:pt>
                <c:pt idx="1">
                  <c:v>No</c:v>
                </c:pt>
                <c:pt idx="2">
                  <c:v>Ns/nc</c:v>
                </c:pt>
              </c:strCache>
            </c:strRef>
          </c:cat>
          <c:val>
            <c:numRef>
              <c:f>Sheet2!$B$141:$B$143</c:f>
              <c:numCache>
                <c:formatCode>General</c:formatCode>
                <c:ptCount val="3"/>
                <c:pt idx="0">
                  <c:v>13</c:v>
                </c:pt>
                <c:pt idx="1">
                  <c:v>16</c:v>
                </c:pt>
                <c:pt idx="2">
                  <c:v>3</c:v>
                </c:pt>
              </c:numCache>
            </c:numRef>
          </c:val>
        </c:ser>
        <c:dLbls/>
        <c:gapWidth val="40"/>
        <c:axId val="158720768"/>
        <c:axId val="158722304"/>
      </c:barChart>
      <c:catAx>
        <c:axId val="158720768"/>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8722304"/>
        <c:crossesAt val="0"/>
        <c:auto val="1"/>
        <c:lblAlgn val="ctr"/>
        <c:lblOffset val="100"/>
      </c:catAx>
      <c:valAx>
        <c:axId val="158722304"/>
        <c:scaling>
          <c:orientation val="minMax"/>
          <c:max val="20"/>
        </c:scaling>
        <c:axPos val="t"/>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58720768"/>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2536708105285291"/>
          <c:y val="9.0686709615843478E-2"/>
          <c:w val="0.79872822098788065"/>
          <c:h val="0.72432348653040124"/>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Sheet2!$A$147</c:f>
              <c:strCache>
                <c:ptCount val="1"/>
                <c:pt idx="0">
                  <c:v>Media</c:v>
                </c:pt>
              </c:strCache>
            </c:strRef>
          </c:cat>
          <c:val>
            <c:numRef>
              <c:f>Sheet2!$B$147</c:f>
              <c:numCache>
                <c:formatCode>0.00</c:formatCode>
                <c:ptCount val="1"/>
                <c:pt idx="0">
                  <c:v>6.6899999999999995</c:v>
                </c:pt>
              </c:numCache>
            </c:numRef>
          </c:val>
        </c:ser>
        <c:dLbls/>
        <c:gapWidth val="40"/>
        <c:axId val="159802880"/>
        <c:axId val="159804416"/>
      </c:barChart>
      <c:catAx>
        <c:axId val="159802880"/>
        <c:scaling>
          <c:orientation val="minMax"/>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9804416"/>
        <c:crossesAt val="0"/>
        <c:auto val="1"/>
        <c:lblAlgn val="ctr"/>
        <c:lblOffset val="100"/>
      </c:catAx>
      <c:valAx>
        <c:axId val="159804416"/>
        <c:scaling>
          <c:orientation val="minMax"/>
          <c:max val="10"/>
        </c:scaling>
        <c:axPos val="b"/>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59802880"/>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2536708105285291"/>
          <c:y val="9.0686709615843478E-2"/>
          <c:w val="0.83222899273269235"/>
          <c:h val="0.72432348653040124"/>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strRef>
              <c:f>Sheet2!$A$154:$A$156</c:f>
              <c:strCache>
                <c:ptCount val="3"/>
                <c:pt idx="0">
                  <c:v>Si</c:v>
                </c:pt>
                <c:pt idx="1">
                  <c:v>No</c:v>
                </c:pt>
                <c:pt idx="2">
                  <c:v>Ns/nc</c:v>
                </c:pt>
              </c:strCache>
            </c:strRef>
          </c:cat>
          <c:val>
            <c:numRef>
              <c:f>Sheet2!$B$154:$B$156</c:f>
              <c:numCache>
                <c:formatCode>General</c:formatCode>
                <c:ptCount val="3"/>
                <c:pt idx="0">
                  <c:v>29</c:v>
                </c:pt>
                <c:pt idx="1">
                  <c:v>81</c:v>
                </c:pt>
                <c:pt idx="2">
                  <c:v>11</c:v>
                </c:pt>
              </c:numCache>
            </c:numRef>
          </c:val>
        </c:ser>
        <c:dLbls/>
        <c:gapWidth val="40"/>
        <c:axId val="159865088"/>
        <c:axId val="159870976"/>
      </c:barChart>
      <c:catAx>
        <c:axId val="159865088"/>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59870976"/>
        <c:crossesAt val="0"/>
        <c:auto val="1"/>
        <c:lblAlgn val="ctr"/>
        <c:lblOffset val="100"/>
      </c:catAx>
      <c:valAx>
        <c:axId val="159870976"/>
        <c:scaling>
          <c:orientation val="minMax"/>
          <c:max val="90"/>
        </c:scaling>
        <c:axPos val="t"/>
        <c:numFmt formatCode="0" sourceLinked="0"/>
        <c:tickLblPos val="nextTo"/>
        <c:spPr>
          <a:ln w="3175">
            <a:solidFill>
              <a:srgbClr val="000000"/>
            </a:solidFill>
            <a:prstDash val="solid"/>
          </a:ln>
        </c:spPr>
        <c:txPr>
          <a:bodyPr/>
          <a:lstStyle/>
          <a:p>
            <a:pPr>
              <a:defRPr>
                <a:solidFill>
                  <a:srgbClr val="000000"/>
                </a:solidFill>
              </a:defRPr>
            </a:pPr>
            <a:endParaRPr lang="es-ES"/>
          </a:p>
        </c:txPr>
        <c:crossAx val="159865088"/>
        <c:crosses val="autoZero"/>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División sectorial de los CEES</a:t>
            </a:r>
          </a:p>
        </c:rich>
      </c:tx>
      <c:layout>
        <c:manualLayout>
          <c:xMode val="edge"/>
          <c:yMode val="edge"/>
          <c:x val="0.30214799055410557"/>
          <c:y val="4.5454441145676511E-2"/>
        </c:manualLayout>
      </c:layout>
    </c:title>
    <c:plotArea>
      <c:layout>
        <c:manualLayout>
          <c:layoutTarget val="inner"/>
          <c:xMode val="edge"/>
          <c:yMode val="edge"/>
          <c:x val="0.14165953792812935"/>
          <c:y val="0.1527158196134574"/>
          <c:w val="0.77547271023406661"/>
          <c:h val="0.41551869192804297"/>
        </c:manualLayout>
      </c:layout>
      <c:barChart>
        <c:barDir val="col"/>
        <c:grouping val="clustered"/>
        <c:varyColors val="1"/>
        <c:ser>
          <c:idx val="0"/>
          <c:order val="0"/>
          <c:dLbls>
            <c:spPr>
              <a:noFill/>
              <a:ln>
                <a:noFill/>
              </a:ln>
              <a:effectLst/>
            </c:spPr>
            <c:txPr>
              <a:bodyPr/>
              <a:lstStyle/>
              <a:p>
                <a:pPr>
                  <a:defRPr sz="900"/>
                </a:pPr>
                <a:endParaRPr lang="es-ES"/>
              </a:p>
            </c:txPr>
            <c:showVal val="1"/>
            <c:extLst>
              <c:ext xmlns:c15="http://schemas.microsoft.com/office/drawing/2012/chart" uri="{CE6537A1-D6FC-4f65-9D91-7224C49458BB}">
                <c15:showLeaderLines val="0"/>
              </c:ext>
            </c:extLst>
          </c:dLbls>
          <c:cat>
            <c:strRef>
              <c:f>'Indicadores Posición Compet.'!$O$55:$O$69</c:f>
              <c:strCache>
                <c:ptCount val="15"/>
                <c:pt idx="0">
                  <c:v>A. Agricultura, Ganadería, Silvicultura y Pesca</c:v>
                </c:pt>
                <c:pt idx="1">
                  <c:v>C. Ind. Manufacturera</c:v>
                </c:pt>
                <c:pt idx="2">
                  <c:v>E. Agua, saneamiento, 
Gestión de residuos y descontaminación</c:v>
                </c:pt>
                <c:pt idx="3">
                  <c:v>F. Construcción</c:v>
                </c:pt>
                <c:pt idx="4">
                  <c:v>G. Comercio al por mayor y al por menor; 
reparación vehículos de motor</c:v>
                </c:pt>
                <c:pt idx="5">
                  <c:v>H. Transporte y Almacenamiento</c:v>
                </c:pt>
                <c:pt idx="6">
                  <c:v>I. Hostelería</c:v>
                </c:pt>
                <c:pt idx="7">
                  <c:v>J. (ITC) Información y Comunicaciones</c:v>
                </c:pt>
                <c:pt idx="8">
                  <c:v>K. Financieras y de seguros</c:v>
                </c:pt>
                <c:pt idx="9">
                  <c:v>M. Profesionales, científicas y técnicas</c:v>
                </c:pt>
                <c:pt idx="10">
                  <c:v>N. Administrativas y servicios auxiliares</c:v>
                </c:pt>
                <c:pt idx="11">
                  <c:v>P. Educación</c:v>
                </c:pt>
                <c:pt idx="12">
                  <c:v>Q. Act. sanitarias y de servicios sociales</c:v>
                </c:pt>
                <c:pt idx="13">
                  <c:v>R.  Artísticas, recreativas
 y de entretenimiento</c:v>
                </c:pt>
                <c:pt idx="14">
                  <c:v>S. Otros servicios</c:v>
                </c:pt>
              </c:strCache>
            </c:strRef>
          </c:cat>
          <c:val>
            <c:numRef>
              <c:f>'Indicadores Posición Compet.'!$Q$55:$Q$69</c:f>
              <c:numCache>
                <c:formatCode>0%</c:formatCode>
                <c:ptCount val="15"/>
                <c:pt idx="0">
                  <c:v>5.9171597633136102E-3</c:v>
                </c:pt>
                <c:pt idx="1">
                  <c:v>0.22485207100591717</c:v>
                </c:pt>
                <c:pt idx="2">
                  <c:v>2.3668639053254437E-2</c:v>
                </c:pt>
                <c:pt idx="3">
                  <c:v>1.7751479289940832E-2</c:v>
                </c:pt>
                <c:pt idx="4">
                  <c:v>0.14792899408284027</c:v>
                </c:pt>
                <c:pt idx="5">
                  <c:v>4.7337278106508889E-2</c:v>
                </c:pt>
                <c:pt idx="6">
                  <c:v>1.183431952662722E-2</c:v>
                </c:pt>
                <c:pt idx="7">
                  <c:v>2.9585798816568046E-2</c:v>
                </c:pt>
                <c:pt idx="8">
                  <c:v>5.9171597633136102E-3</c:v>
                </c:pt>
                <c:pt idx="9">
                  <c:v>4.142011834319527E-2</c:v>
                </c:pt>
                <c:pt idx="10">
                  <c:v>0.27810650887573962</c:v>
                </c:pt>
                <c:pt idx="11">
                  <c:v>1.183431952662722E-2</c:v>
                </c:pt>
                <c:pt idx="12">
                  <c:v>2.9585798816568046E-2</c:v>
                </c:pt>
                <c:pt idx="13">
                  <c:v>1.183431952662722E-2</c:v>
                </c:pt>
                <c:pt idx="14">
                  <c:v>0.11242603550295859</c:v>
                </c:pt>
              </c:numCache>
            </c:numRef>
          </c:val>
        </c:ser>
        <c:dLbls/>
        <c:gapWidth val="40"/>
        <c:axId val="159886336"/>
        <c:axId val="159896320"/>
      </c:barChart>
      <c:catAx>
        <c:axId val="159886336"/>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59896320"/>
        <c:crosses val="autoZero"/>
        <c:auto val="1"/>
        <c:lblAlgn val="ctr"/>
        <c:lblOffset val="100"/>
      </c:catAx>
      <c:valAx>
        <c:axId val="159896320"/>
        <c:scaling>
          <c:orientation val="minMax"/>
        </c:scaling>
        <c:axPos val="l"/>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59886336"/>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División sectorial de los</a:t>
            </a:r>
            <a:r>
              <a:rPr lang="es-ES" baseline="0"/>
              <a:t> </a:t>
            </a:r>
            <a:r>
              <a:rPr lang="es-ES"/>
              <a:t>centros de iniciativa social</a:t>
            </a:r>
          </a:p>
        </c:rich>
      </c:tx>
      <c:layout>
        <c:manualLayout>
          <c:xMode val="edge"/>
          <c:yMode val="edge"/>
          <c:x val="0.24866361866057066"/>
          <c:y val="4.0355509453533903E-2"/>
        </c:manualLayout>
      </c:layout>
    </c:title>
    <c:plotArea>
      <c:layout>
        <c:manualLayout>
          <c:layoutTarget val="inner"/>
          <c:xMode val="edge"/>
          <c:yMode val="edge"/>
          <c:x val="0.12573397680128692"/>
          <c:y val="0.15271567102016445"/>
          <c:w val="0.76338573402706278"/>
          <c:h val="0.31171578103635372"/>
        </c:manualLayout>
      </c:layout>
      <c:barChart>
        <c:barDir val="col"/>
        <c:grouping val="clustered"/>
        <c:varyColors val="1"/>
        <c:ser>
          <c:idx val="0"/>
          <c:order val="0"/>
          <c:dLbls>
            <c:dLbl>
              <c:idx val="0"/>
              <c:tx>
                <c:rich>
                  <a:bodyPr/>
                  <a:lstStyle/>
                  <a:p>
                    <a:r>
                      <a:rPr lang="en-US"/>
                      <a:t>0%</a:t>
                    </a:r>
                  </a:p>
                </c:rich>
              </c:tx>
              <c:showVal val="1"/>
              <c:extLst>
                <c:ext xmlns:c15="http://schemas.microsoft.com/office/drawing/2012/chart" uri="{CE6537A1-D6FC-4f65-9D91-7224C49458BB}"/>
              </c:extLst>
            </c:dLbl>
            <c:spPr>
              <a:noFill/>
              <a:ln>
                <a:noFill/>
              </a:ln>
              <a:effectLst/>
            </c:spPr>
            <c:txPr>
              <a:bodyPr/>
              <a:lstStyle/>
              <a:p>
                <a:pPr>
                  <a:defRPr sz="900"/>
                </a:pPr>
                <a:endParaRPr lang="es-ES"/>
              </a:p>
            </c:txPr>
            <c:showVal val="1"/>
            <c:extLst>
              <c:ext xmlns:c15="http://schemas.microsoft.com/office/drawing/2012/chart" uri="{CE6537A1-D6FC-4f65-9D91-7224C49458BB}">
                <c15:showLeaderLines val="0"/>
              </c:ext>
            </c:extLst>
          </c:dLbls>
          <c:cat>
            <c:strRef>
              <c:f>'Indicadores Posición Compet.'!$O$16:$O$30</c:f>
              <c:strCache>
                <c:ptCount val="15"/>
                <c:pt idx="0">
                  <c:v>A. Agricultura, Ganadería, Silvicultura y Pesca</c:v>
                </c:pt>
                <c:pt idx="1">
                  <c:v>C. Ind. Manufacturera</c:v>
                </c:pt>
                <c:pt idx="2">
                  <c:v>E. Agua, saneamiento, 
Gestión de residuos y descontaminación</c:v>
                </c:pt>
                <c:pt idx="3">
                  <c:v>F. Construcción</c:v>
                </c:pt>
                <c:pt idx="4">
                  <c:v>G. Comercio al por mayor y al por menor; 
reparación vehículos de motor</c:v>
                </c:pt>
                <c:pt idx="5">
                  <c:v>H. Transporte y Almacenamiento</c:v>
                </c:pt>
                <c:pt idx="6">
                  <c:v>I. Hostelería</c:v>
                </c:pt>
                <c:pt idx="7">
                  <c:v>J. (ITC) Información y Comunicaciones</c:v>
                </c:pt>
                <c:pt idx="8">
                  <c:v>K. Financieras y de seguros</c:v>
                </c:pt>
                <c:pt idx="9">
                  <c:v>M. Profesionales, científicas y técnicas</c:v>
                </c:pt>
                <c:pt idx="10">
                  <c:v>N. Administrativas y servicios auxiliares</c:v>
                </c:pt>
                <c:pt idx="11">
                  <c:v>P. Educación</c:v>
                </c:pt>
                <c:pt idx="12">
                  <c:v>Q. Act. sanitarias y de servicios sociales</c:v>
                </c:pt>
                <c:pt idx="13">
                  <c:v>R.  Artísticas, recreativas
 y de entretenimiento</c:v>
                </c:pt>
                <c:pt idx="14">
                  <c:v>S. Otros servicios</c:v>
                </c:pt>
              </c:strCache>
            </c:strRef>
          </c:cat>
          <c:val>
            <c:numRef>
              <c:f>'Indicadores Posición Compet.'!$Q$16:$Q$30</c:f>
              <c:numCache>
                <c:formatCode>0%</c:formatCode>
                <c:ptCount val="15"/>
                <c:pt idx="0">
                  <c:v>0</c:v>
                </c:pt>
                <c:pt idx="1">
                  <c:v>0.17647058823529416</c:v>
                </c:pt>
                <c:pt idx="2">
                  <c:v>7.8431372549019607E-2</c:v>
                </c:pt>
                <c:pt idx="3">
                  <c:v>0</c:v>
                </c:pt>
                <c:pt idx="4">
                  <c:v>7.8431372549019607E-2</c:v>
                </c:pt>
                <c:pt idx="5">
                  <c:v>3.9215686274509803E-2</c:v>
                </c:pt>
                <c:pt idx="6">
                  <c:v>0</c:v>
                </c:pt>
                <c:pt idx="7">
                  <c:v>1.9607843137254902E-2</c:v>
                </c:pt>
                <c:pt idx="8">
                  <c:v>1.9607843137254902E-2</c:v>
                </c:pt>
                <c:pt idx="9">
                  <c:v>1.9607843137254902E-2</c:v>
                </c:pt>
                <c:pt idx="10">
                  <c:v>0.29411764705882359</c:v>
                </c:pt>
                <c:pt idx="11">
                  <c:v>3.9215686274509803E-2</c:v>
                </c:pt>
                <c:pt idx="12">
                  <c:v>7.8431372549019607E-2</c:v>
                </c:pt>
                <c:pt idx="13">
                  <c:v>1.9607843137254902E-2</c:v>
                </c:pt>
                <c:pt idx="14">
                  <c:v>0.13725490196078433</c:v>
                </c:pt>
              </c:numCache>
            </c:numRef>
          </c:val>
        </c:ser>
        <c:dLbls/>
        <c:gapWidth val="40"/>
        <c:axId val="169755008"/>
        <c:axId val="169756544"/>
      </c:barChart>
      <c:catAx>
        <c:axId val="169755008"/>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69756544"/>
        <c:crosses val="autoZero"/>
        <c:auto val="1"/>
        <c:lblAlgn val="ctr"/>
        <c:lblOffset val="100"/>
      </c:catAx>
      <c:valAx>
        <c:axId val="169756544"/>
        <c:scaling>
          <c:orientation val="minMax"/>
        </c:scaling>
        <c:axPos val="l"/>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69755008"/>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División sectorial de los centros de iniciativa empresarial</a:t>
            </a:r>
          </a:p>
        </c:rich>
      </c:tx>
      <c:layout>
        <c:manualLayout>
          <c:xMode val="edge"/>
          <c:yMode val="edge"/>
          <c:x val="0.20004552782475377"/>
          <c:y val="2.5695093198096396E-4"/>
        </c:manualLayout>
      </c:layout>
    </c:title>
    <c:plotArea>
      <c:layout>
        <c:manualLayout>
          <c:layoutTarget val="inner"/>
          <c:xMode val="edge"/>
          <c:yMode val="edge"/>
          <c:x val="0.14165953792812935"/>
          <c:y val="0.1527158196134574"/>
          <c:w val="0.75905684156101561"/>
          <c:h val="0.41057644451504088"/>
        </c:manualLayout>
      </c:layout>
      <c:barChart>
        <c:barDir val="col"/>
        <c:grouping val="clustered"/>
        <c:varyColors val="1"/>
        <c:ser>
          <c:idx val="0"/>
          <c:order val="0"/>
          <c:dLbls>
            <c:spPr>
              <a:noFill/>
              <a:ln>
                <a:noFill/>
              </a:ln>
              <a:effectLst/>
            </c:spPr>
            <c:txPr>
              <a:bodyPr/>
              <a:lstStyle/>
              <a:p>
                <a:pPr>
                  <a:defRPr sz="900"/>
                </a:pPr>
                <a:endParaRPr lang="es-ES"/>
              </a:p>
            </c:txPr>
            <c:showVal val="1"/>
            <c:extLst>
              <c:ext xmlns:c15="http://schemas.microsoft.com/office/drawing/2012/chart" uri="{CE6537A1-D6FC-4f65-9D91-7224C49458BB}">
                <c15:showLeaderLines val="0"/>
              </c:ext>
            </c:extLst>
          </c:dLbls>
          <c:cat>
            <c:strRef>
              <c:f>'Indicadores Posición Compet.'!$O$35:$O$49</c:f>
              <c:strCache>
                <c:ptCount val="15"/>
                <c:pt idx="0">
                  <c:v>A. Agricultura, Ganadería, Silvicultura y Pesca</c:v>
                </c:pt>
                <c:pt idx="1">
                  <c:v>C. Ind. Manufacturera</c:v>
                </c:pt>
                <c:pt idx="2">
                  <c:v>E. Agua, saneamiento, 
Gestión de residuos y descontaminación</c:v>
                </c:pt>
                <c:pt idx="3">
                  <c:v>F. Construcción</c:v>
                </c:pt>
                <c:pt idx="4">
                  <c:v>G. Comercio al por mayor y al por menor; 
reparación vehículos de motor</c:v>
                </c:pt>
                <c:pt idx="5">
                  <c:v>H. Transporte y Almacenamiento</c:v>
                </c:pt>
                <c:pt idx="6">
                  <c:v>I. Hostelería</c:v>
                </c:pt>
                <c:pt idx="7">
                  <c:v>J. (ITC) Información y Comunicaciones</c:v>
                </c:pt>
                <c:pt idx="8">
                  <c:v>K. Financieras y de seguros</c:v>
                </c:pt>
                <c:pt idx="9">
                  <c:v>M. Profesionales, científicas y técnicas</c:v>
                </c:pt>
                <c:pt idx="10">
                  <c:v>N. Administrativas y servicios auxiliares</c:v>
                </c:pt>
                <c:pt idx="11">
                  <c:v>P. Educación</c:v>
                </c:pt>
                <c:pt idx="12">
                  <c:v>Q. Act. sanitarias y de servicios sociales</c:v>
                </c:pt>
                <c:pt idx="13">
                  <c:v>R.  Artísticas, recreativas
 y de entretenimiento</c:v>
                </c:pt>
                <c:pt idx="14">
                  <c:v>S. Otros servicios</c:v>
                </c:pt>
              </c:strCache>
            </c:strRef>
          </c:cat>
          <c:val>
            <c:numRef>
              <c:f>'Indicadores Posición Compet.'!$Q$35:$Q$49</c:f>
              <c:numCache>
                <c:formatCode>0%</c:formatCode>
                <c:ptCount val="15"/>
                <c:pt idx="0">
                  <c:v>8.4745762711864441E-3</c:v>
                </c:pt>
                <c:pt idx="1">
                  <c:v>0.24576271186440682</c:v>
                </c:pt>
                <c:pt idx="2">
                  <c:v>0</c:v>
                </c:pt>
                <c:pt idx="3">
                  <c:v>2.5423728813559334E-2</c:v>
                </c:pt>
                <c:pt idx="4">
                  <c:v>0.17796610169491528</c:v>
                </c:pt>
                <c:pt idx="5">
                  <c:v>5.0847457627118668E-2</c:v>
                </c:pt>
                <c:pt idx="6">
                  <c:v>1.6949152542372881E-2</c:v>
                </c:pt>
                <c:pt idx="7">
                  <c:v>3.3898305084745776E-2</c:v>
                </c:pt>
                <c:pt idx="8">
                  <c:v>0</c:v>
                </c:pt>
                <c:pt idx="9">
                  <c:v>5.0847457627118668E-2</c:v>
                </c:pt>
                <c:pt idx="10">
                  <c:v>0.27118644067796616</c:v>
                </c:pt>
                <c:pt idx="11">
                  <c:v>0</c:v>
                </c:pt>
                <c:pt idx="12">
                  <c:v>8.4745762711864441E-3</c:v>
                </c:pt>
                <c:pt idx="13">
                  <c:v>8.4745762711864441E-3</c:v>
                </c:pt>
                <c:pt idx="14">
                  <c:v>0.10169491525423729</c:v>
                </c:pt>
              </c:numCache>
            </c:numRef>
          </c:val>
        </c:ser>
        <c:dLbls/>
        <c:gapWidth val="40"/>
        <c:axId val="169793024"/>
        <c:axId val="169794560"/>
      </c:barChart>
      <c:catAx>
        <c:axId val="169793024"/>
        <c:scaling>
          <c:orientation val="minMax"/>
        </c:scaling>
        <c:axPos val="b"/>
        <c:numFmt formatCode="General" sourceLinked="0"/>
        <c:tickLblPos val="low"/>
        <c:spPr>
          <a:ln w="3175">
            <a:solidFill>
              <a:srgbClr val="000000"/>
            </a:solidFill>
            <a:prstDash val="solid"/>
          </a:ln>
        </c:spPr>
        <c:txPr>
          <a:bodyPr/>
          <a:lstStyle/>
          <a:p>
            <a:pPr>
              <a:defRPr>
                <a:solidFill>
                  <a:srgbClr val="000000"/>
                </a:solidFill>
              </a:defRPr>
            </a:pPr>
            <a:endParaRPr lang="es-ES"/>
          </a:p>
        </c:txPr>
        <c:crossAx val="169794560"/>
        <c:crosses val="autoZero"/>
        <c:auto val="1"/>
        <c:lblAlgn val="ctr"/>
        <c:lblOffset val="100"/>
      </c:catAx>
      <c:valAx>
        <c:axId val="169794560"/>
        <c:scaling>
          <c:orientation val="minMax"/>
        </c:scaling>
        <c:axPos val="l"/>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69793024"/>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sz="900" b="1">
                <a:solidFill>
                  <a:srgbClr val="00338D"/>
                </a:solidFill>
                <a:latin typeface="Arial"/>
                <a:ea typeface="Arial"/>
                <a:cs typeface="Arial"/>
              </a:defRPr>
            </a:pPr>
            <a:r>
              <a:rPr lang="en-US" sz="1200"/>
              <a:t>Evaluación</a:t>
            </a:r>
            <a:r>
              <a:rPr lang="en-US" sz="1200" baseline="0"/>
              <a:t> Financiera</a:t>
            </a:r>
          </a:p>
          <a:p>
            <a:pPr algn="ctr">
              <a:defRPr sz="900" b="1">
                <a:solidFill>
                  <a:srgbClr val="00338D"/>
                </a:solidFill>
                <a:latin typeface="Arial"/>
                <a:ea typeface="Arial"/>
                <a:cs typeface="Arial"/>
              </a:defRPr>
            </a:pPr>
            <a:r>
              <a:rPr lang="en-US" sz="1200" baseline="0"/>
              <a:t>Todos los CEEs</a:t>
            </a:r>
            <a:endParaRPr lang="en-US" sz="1200"/>
          </a:p>
        </c:rich>
      </c:tx>
      <c:layout>
        <c:manualLayout>
          <c:xMode val="edge"/>
          <c:yMode val="edge"/>
          <c:x val="0.24691480562448404"/>
          <c:y val="2.7272528433945811E-2"/>
        </c:manualLayout>
      </c:layout>
    </c:title>
    <c:plotArea>
      <c:layout>
        <c:manualLayout>
          <c:layoutTarget val="inner"/>
          <c:xMode val="edge"/>
          <c:yMode val="edge"/>
          <c:x val="0.30285714285714288"/>
          <c:y val="0.23181818181818281"/>
          <c:w val="0.33142857142857518"/>
          <c:h val="0.52727272727272656"/>
        </c:manualLayout>
      </c:layout>
      <c:pieChart>
        <c:varyColors val="1"/>
        <c:ser>
          <c:idx val="0"/>
          <c:order val="0"/>
          <c:dPt>
            <c:idx val="0"/>
            <c:spPr>
              <a:solidFill>
                <a:srgbClr val="409DAD"/>
              </a:solidFill>
              <a:ln w="3175">
                <a:solidFill>
                  <a:srgbClr val="FFFFFF"/>
                </a:solidFill>
                <a:prstDash val="solid"/>
              </a:ln>
            </c:spPr>
          </c:dPt>
          <c:dPt>
            <c:idx val="1"/>
            <c:spPr>
              <a:solidFill>
                <a:srgbClr val="BFDEE4"/>
              </a:solidFill>
              <a:ln w="3175">
                <a:solidFill>
                  <a:srgbClr val="FFFFFF"/>
                </a:solidFill>
                <a:prstDash val="solid"/>
              </a:ln>
            </c:spPr>
          </c:dPt>
          <c:dLbls>
            <c:dLbl>
              <c:idx val="0"/>
              <c:tx>
                <c:rich>
                  <a:bodyPr/>
                  <a:lstStyle/>
                  <a:p>
                    <a:r>
                      <a:rPr lang="en-US"/>
                      <a:t>78%</a:t>
                    </a:r>
                  </a:p>
                </c:rich>
              </c:tx>
              <c:showPercent val="1"/>
              <c:extLst>
                <c:ext xmlns:c15="http://schemas.microsoft.com/office/drawing/2012/chart" uri="{CE6537A1-D6FC-4f65-9D91-7224C49458BB}"/>
              </c:extLst>
            </c:dLbl>
            <c:dLbl>
              <c:idx val="1"/>
              <c:tx>
                <c:rich>
                  <a:bodyPr/>
                  <a:lstStyle/>
                  <a:p>
                    <a:r>
                      <a:rPr lang="en-US"/>
                      <a:t>22%</a:t>
                    </a:r>
                  </a:p>
                </c:rich>
              </c:tx>
              <c:showPercent val="1"/>
              <c:extLst>
                <c:ext xmlns:c15="http://schemas.microsoft.com/office/drawing/2012/chart" uri="{CE6537A1-D6FC-4f65-9D91-7224C49458BB}"/>
              </c:extLst>
            </c:dLbl>
            <c:spPr>
              <a:noFill/>
              <a:ln>
                <a:noFill/>
              </a:ln>
              <a:effectLst/>
            </c:spPr>
            <c:txPr>
              <a:bodyPr/>
              <a:lstStyle/>
              <a:p>
                <a:pPr>
                  <a:defRPr sz="1100"/>
                </a:pPr>
                <a:endParaRPr lang="es-ES"/>
              </a:p>
            </c:txPr>
            <c:showPercent val="1"/>
            <c:showLeaderLines val="1"/>
            <c:leaderLines>
              <c:spPr>
                <a:ln>
                  <a:solidFill>
                    <a:srgbClr val="000000"/>
                  </a:solidFill>
                  <a:prstDash val="solid"/>
                </a:ln>
              </c:spPr>
            </c:leaderLines>
            <c:extLst>
              <c:ext xmlns:c15="http://schemas.microsoft.com/office/drawing/2012/chart" uri="{CE6537A1-D6FC-4f65-9D91-7224C49458BB}"/>
            </c:extLst>
          </c:dLbls>
          <c:cat>
            <c:strRef>
              <c:f>'Puntuaciones tras cambios'!$A$695:$A$696</c:f>
              <c:strCache>
                <c:ptCount val="2"/>
                <c:pt idx="0">
                  <c:v>Resultado superior a 50 puntos sobre 100</c:v>
                </c:pt>
                <c:pt idx="1">
                  <c:v>Resultado inferior a 50 puntos sobre 100</c:v>
                </c:pt>
              </c:strCache>
            </c:strRef>
          </c:cat>
          <c:val>
            <c:numRef>
              <c:f>'Puntuaciones tras cambios'!$B$695:$B$696</c:f>
              <c:numCache>
                <c:formatCode>0.0%</c:formatCode>
                <c:ptCount val="2"/>
                <c:pt idx="0">
                  <c:v>0.77500000000000013</c:v>
                </c:pt>
                <c:pt idx="1">
                  <c:v>0.22500000000000001</c:v>
                </c:pt>
              </c:numCache>
            </c:numRef>
          </c:val>
        </c:ser>
        <c:dLbls/>
        <c:firstSliceAng val="0"/>
      </c:pieChart>
      <c:spPr>
        <a:noFill/>
        <a:ln w="25400">
          <a:noFill/>
        </a:ln>
      </c:spPr>
    </c:plotArea>
    <c:legend>
      <c:legendPos val="b"/>
      <c:layout>
        <c:manualLayout>
          <c:xMode val="edge"/>
          <c:yMode val="edge"/>
          <c:x val="0.14333747755214898"/>
          <c:y val="0.78880021030450775"/>
          <c:w val="0.68254086660220104"/>
          <c:h val="0.15655740449186956"/>
        </c:manualLayout>
      </c:layout>
      <c:spPr>
        <a:noFill/>
        <a:ln w="25400">
          <a:noFill/>
        </a:ln>
      </c:spPr>
      <c:txPr>
        <a:bodyPr/>
        <a:lstStyle/>
        <a:p>
          <a:pPr rtl="0">
            <a:defRPr sz="900">
              <a:solidFill>
                <a:srgbClr val="000000"/>
              </a:solidFill>
            </a:defRPr>
          </a:pPr>
          <a:endParaRPr lang="es-ES"/>
        </a:p>
      </c:txPr>
    </c:legend>
    <c:plotVisOnly val="1"/>
    <c:dispBlanksAs val="zero"/>
  </c:chart>
  <c:spPr>
    <a:solidFill>
      <a:schemeClr val="bg1"/>
    </a:solid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sz="900"/>
              <a:t>Población</a:t>
            </a:r>
            <a:r>
              <a:rPr lang="es-ES" sz="900" baseline="0"/>
              <a:t> de los municipios por sector</a:t>
            </a:r>
            <a:endParaRPr lang="es-ES" sz="900"/>
          </a:p>
        </c:rich>
      </c:tx>
      <c:layout>
        <c:manualLayout>
          <c:xMode val="edge"/>
          <c:yMode val="edge"/>
          <c:x val="0.29288159388771617"/>
          <c:y val="2.1108117932158332E-2"/>
        </c:manualLayout>
      </c:layout>
    </c:title>
    <c:plotArea>
      <c:layout>
        <c:manualLayout>
          <c:layoutTarget val="inner"/>
          <c:xMode val="edge"/>
          <c:yMode val="edge"/>
          <c:x val="9.8036128917687079E-2"/>
          <c:y val="0.12191877479172608"/>
          <c:w val="0.8471704280346003"/>
          <c:h val="0.26731652846232234"/>
        </c:manualLayout>
      </c:layout>
      <c:barChart>
        <c:barDir val="col"/>
        <c:grouping val="percentStacked"/>
        <c:ser>
          <c:idx val="0"/>
          <c:order val="0"/>
          <c:tx>
            <c:strRef>
              <c:f>'Disc. elevadas y Pobl.'!$S$212</c:f>
              <c:strCache>
                <c:ptCount val="1"/>
                <c:pt idx="0">
                  <c:v>% de CEEs situados en municipios de menos de 20.000 habitantes</c:v>
                </c:pt>
              </c:strCache>
            </c:strRef>
          </c:tx>
          <c:spPr>
            <a:solidFill>
              <a:srgbClr val="409DAD"/>
            </a:solidFill>
            <a:ln w="3175">
              <a:solidFill>
                <a:srgbClr val="FFFFFF"/>
              </a:solidFill>
              <a:prstDash val="solid"/>
            </a:ln>
          </c:spPr>
          <c:dLbls>
            <c:dLbl>
              <c:idx val="8"/>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a:lstStyle/>
              <a:p>
                <a:pPr>
                  <a:defRPr sz="8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Pobl.'!$P$213:$P$227</c:f>
              <c:strCache>
                <c:ptCount val="15"/>
                <c:pt idx="0">
                  <c:v>Agricultura, Ganadería, Silvicultura y Pesca</c:v>
                </c:pt>
                <c:pt idx="1">
                  <c:v>Ind. Manufacturera</c:v>
                </c:pt>
                <c:pt idx="2">
                  <c:v>Agua, saneamiento, 
Gestión de residuos y descontaminación</c:v>
                </c:pt>
                <c:pt idx="3">
                  <c:v>Construcción</c:v>
                </c:pt>
                <c:pt idx="4">
                  <c:v>Comercio al por mayor y al por menor; 
reparación vehículos de motor</c:v>
                </c:pt>
                <c:pt idx="5">
                  <c:v>Transporte y Almacenamiento</c:v>
                </c:pt>
                <c:pt idx="6">
                  <c:v>Hostelería</c:v>
                </c:pt>
                <c:pt idx="7">
                  <c:v>(ITC) Información y Comunicaciones</c:v>
                </c:pt>
                <c:pt idx="8">
                  <c:v>Financieras y de seguros</c:v>
                </c:pt>
                <c:pt idx="9">
                  <c:v>Profesionales, científicas y técnicas</c:v>
                </c:pt>
                <c:pt idx="10">
                  <c:v>Administrativas y servicios auxiliares</c:v>
                </c:pt>
                <c:pt idx="11">
                  <c:v>Educación</c:v>
                </c:pt>
                <c:pt idx="12">
                  <c:v>Act. sanitarias y de servicios sociales</c:v>
                </c:pt>
                <c:pt idx="13">
                  <c:v> Artísticas, recreativas
 y de entretenimiento</c:v>
                </c:pt>
                <c:pt idx="14">
                  <c:v>Otros servicios</c:v>
                </c:pt>
              </c:strCache>
            </c:strRef>
          </c:cat>
          <c:val>
            <c:numRef>
              <c:f>'Disc. elevadas y Pobl.'!$S$213:$S$227</c:f>
              <c:numCache>
                <c:formatCode>0%</c:formatCode>
                <c:ptCount val="15"/>
                <c:pt idx="0">
                  <c:v>1</c:v>
                </c:pt>
                <c:pt idx="1">
                  <c:v>0.5</c:v>
                </c:pt>
                <c:pt idx="2">
                  <c:v>0.5</c:v>
                </c:pt>
                <c:pt idx="3">
                  <c:v>0.33333333333333331</c:v>
                </c:pt>
                <c:pt idx="4">
                  <c:v>0.52</c:v>
                </c:pt>
                <c:pt idx="5">
                  <c:v>0.25</c:v>
                </c:pt>
                <c:pt idx="6">
                  <c:v>1</c:v>
                </c:pt>
                <c:pt idx="7">
                  <c:v>0.4</c:v>
                </c:pt>
                <c:pt idx="8">
                  <c:v>0</c:v>
                </c:pt>
                <c:pt idx="9">
                  <c:v>0.1428571428571429</c:v>
                </c:pt>
                <c:pt idx="10">
                  <c:v>0.19565217391304343</c:v>
                </c:pt>
                <c:pt idx="11">
                  <c:v>0</c:v>
                </c:pt>
                <c:pt idx="12">
                  <c:v>0.60000000000000009</c:v>
                </c:pt>
                <c:pt idx="13">
                  <c:v>0</c:v>
                </c:pt>
                <c:pt idx="14">
                  <c:v>0.26315789473684215</c:v>
                </c:pt>
              </c:numCache>
            </c:numRef>
          </c:val>
        </c:ser>
        <c:ser>
          <c:idx val="1"/>
          <c:order val="1"/>
          <c:tx>
            <c:strRef>
              <c:f>'Disc. elevadas y Pobl.'!$U$212</c:f>
              <c:strCache>
                <c:ptCount val="1"/>
                <c:pt idx="0">
                  <c:v>% de CEEs situados en municipios de más de 20.000 habitantes</c:v>
                </c:pt>
              </c:strCache>
            </c:strRef>
          </c:tx>
          <c:spPr>
            <a:solidFill>
              <a:srgbClr val="BFDEE4"/>
            </a:solidFill>
            <a:ln w="3175">
              <a:solidFill>
                <a:srgbClr val="FFFFFF"/>
              </a:solidFill>
              <a:prstDash val="solid"/>
            </a:ln>
          </c:spPr>
          <c:dLbls>
            <c:dLbl>
              <c:idx val="0"/>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a:lstStyle/>
              <a:p>
                <a:pPr>
                  <a:defRPr sz="800">
                    <a:solidFill>
                      <a:srgbClr val="000000"/>
                    </a:solidFill>
                  </a:defRPr>
                </a:pPr>
                <a:endParaRPr lang="es-ES"/>
              </a:p>
            </c:txPr>
            <c:showVal val="1"/>
            <c:extLst>
              <c:ext xmlns:c15="http://schemas.microsoft.com/office/drawing/2012/chart" uri="{CE6537A1-D6FC-4f65-9D91-7224C49458BB}">
                <c15:showLeaderLines val="0"/>
              </c:ext>
            </c:extLst>
          </c:dLbls>
          <c:cat>
            <c:strRef>
              <c:f>'Disc. elevadas y Pobl.'!$P$213:$P$227</c:f>
              <c:strCache>
                <c:ptCount val="15"/>
                <c:pt idx="0">
                  <c:v>Agricultura, Ganadería, Silvicultura y Pesca</c:v>
                </c:pt>
                <c:pt idx="1">
                  <c:v>Ind. Manufacturera</c:v>
                </c:pt>
                <c:pt idx="2">
                  <c:v>Agua, saneamiento, 
Gestión de residuos y descontaminación</c:v>
                </c:pt>
                <c:pt idx="3">
                  <c:v>Construcción</c:v>
                </c:pt>
                <c:pt idx="4">
                  <c:v>Comercio al por mayor y al por menor; 
reparación vehículos de motor</c:v>
                </c:pt>
                <c:pt idx="5">
                  <c:v>Transporte y Almacenamiento</c:v>
                </c:pt>
                <c:pt idx="6">
                  <c:v>Hostelería</c:v>
                </c:pt>
                <c:pt idx="7">
                  <c:v>(ITC) Información y Comunicaciones</c:v>
                </c:pt>
                <c:pt idx="8">
                  <c:v>Financieras y de seguros</c:v>
                </c:pt>
                <c:pt idx="9">
                  <c:v>Profesionales, científicas y técnicas</c:v>
                </c:pt>
                <c:pt idx="10">
                  <c:v>Administrativas y servicios auxiliares</c:v>
                </c:pt>
                <c:pt idx="11">
                  <c:v>Educación</c:v>
                </c:pt>
                <c:pt idx="12">
                  <c:v>Act. sanitarias y de servicios sociales</c:v>
                </c:pt>
                <c:pt idx="13">
                  <c:v> Artísticas, recreativas
 y de entretenimiento</c:v>
                </c:pt>
                <c:pt idx="14">
                  <c:v>Otros servicios</c:v>
                </c:pt>
              </c:strCache>
            </c:strRef>
          </c:cat>
          <c:val>
            <c:numRef>
              <c:f>'Disc. elevadas y Pobl.'!$U$213:$U$227</c:f>
              <c:numCache>
                <c:formatCode>0%</c:formatCode>
                <c:ptCount val="15"/>
                <c:pt idx="0">
                  <c:v>0</c:v>
                </c:pt>
                <c:pt idx="1">
                  <c:v>0.5</c:v>
                </c:pt>
                <c:pt idx="2">
                  <c:v>0.5</c:v>
                </c:pt>
                <c:pt idx="3">
                  <c:v>0.66666666666666663</c:v>
                </c:pt>
                <c:pt idx="4">
                  <c:v>0.48000000000000004</c:v>
                </c:pt>
                <c:pt idx="5">
                  <c:v>0.75000000000000011</c:v>
                </c:pt>
                <c:pt idx="6">
                  <c:v>0</c:v>
                </c:pt>
                <c:pt idx="7">
                  <c:v>0.60000000000000009</c:v>
                </c:pt>
                <c:pt idx="8">
                  <c:v>1</c:v>
                </c:pt>
                <c:pt idx="9">
                  <c:v>0.85714285714285721</c:v>
                </c:pt>
                <c:pt idx="10">
                  <c:v>0.80434782608695654</c:v>
                </c:pt>
                <c:pt idx="11">
                  <c:v>1</c:v>
                </c:pt>
                <c:pt idx="12">
                  <c:v>0.4</c:v>
                </c:pt>
                <c:pt idx="13">
                  <c:v>1</c:v>
                </c:pt>
                <c:pt idx="14">
                  <c:v>0.73684210526315785</c:v>
                </c:pt>
              </c:numCache>
            </c:numRef>
          </c:val>
        </c:ser>
        <c:dLbls/>
        <c:gapWidth val="40"/>
        <c:overlap val="100"/>
        <c:axId val="170012672"/>
        <c:axId val="170014208"/>
      </c:barChart>
      <c:catAx>
        <c:axId val="170012672"/>
        <c:scaling>
          <c:orientation val="minMax"/>
        </c:scaling>
        <c:axPos val="b"/>
        <c:numFmt formatCode="General" sourceLinked="0"/>
        <c:tickLblPos val="low"/>
        <c:spPr>
          <a:ln w="3175">
            <a:solidFill>
              <a:srgbClr val="000000"/>
            </a:solidFill>
            <a:prstDash val="solid"/>
          </a:ln>
        </c:spPr>
        <c:txPr>
          <a:bodyPr/>
          <a:lstStyle/>
          <a:p>
            <a:pPr>
              <a:defRPr sz="800">
                <a:solidFill>
                  <a:srgbClr val="000000"/>
                </a:solidFill>
              </a:defRPr>
            </a:pPr>
            <a:endParaRPr lang="es-ES"/>
          </a:p>
        </c:txPr>
        <c:crossAx val="170014208"/>
        <c:crosses val="autoZero"/>
        <c:auto val="1"/>
        <c:lblAlgn val="ctr"/>
        <c:lblOffset val="100"/>
      </c:catAx>
      <c:valAx>
        <c:axId val="170014208"/>
        <c:scaling>
          <c:orientation val="minMax"/>
        </c:scaling>
        <c:axPos val="l"/>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70012672"/>
        <c:crosses val="autoZero"/>
        <c:crossBetween val="between"/>
      </c:valAx>
      <c:spPr>
        <a:noFill/>
        <a:ln w="25400">
          <a:noFill/>
        </a:ln>
      </c:spPr>
    </c:plotArea>
    <c:legend>
      <c:legendPos val="b"/>
      <c:layout>
        <c:manualLayout>
          <c:xMode val="edge"/>
          <c:yMode val="edge"/>
          <c:x val="0.22033819846593244"/>
          <c:y val="0.86661013527155262"/>
          <c:w val="0.67179028547357544"/>
          <c:h val="0.13111326468806783"/>
        </c:manualLayout>
      </c:layout>
      <c:spPr>
        <a:noFill/>
        <a:ln w="25400">
          <a:noFill/>
        </a:ln>
      </c:spPr>
      <c:txPr>
        <a:bodyPr/>
        <a:lstStyle/>
        <a:p>
          <a:pPr>
            <a:defRPr sz="800">
              <a:solidFill>
                <a:srgbClr val="000000"/>
              </a:solidFill>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27444861699979822"/>
          <c:y val="0.23157661326816903"/>
          <c:w val="0.63641106400161518"/>
          <c:h val="0.68908800193079311"/>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numRef>
              <c:f>'Preguntas cuantitativas'!$A$17:$A$26</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'Preguntas cuantitativas'!$C$17:$C$26</c:f>
              <c:numCache>
                <c:formatCode>0%</c:formatCode>
                <c:ptCount val="10"/>
                <c:pt idx="0">
                  <c:v>0</c:v>
                </c:pt>
                <c:pt idx="1">
                  <c:v>0.5</c:v>
                </c:pt>
                <c:pt idx="2">
                  <c:v>0.30000000000000004</c:v>
                </c:pt>
                <c:pt idx="3">
                  <c:v>0.1</c:v>
                </c:pt>
                <c:pt idx="4">
                  <c:v>0.1</c:v>
                </c:pt>
                <c:pt idx="5">
                  <c:v>0</c:v>
                </c:pt>
                <c:pt idx="6">
                  <c:v>0</c:v>
                </c:pt>
                <c:pt idx="7">
                  <c:v>0</c:v>
                </c:pt>
                <c:pt idx="8">
                  <c:v>0</c:v>
                </c:pt>
                <c:pt idx="9">
                  <c:v>0</c:v>
                </c:pt>
              </c:numCache>
            </c:numRef>
          </c:val>
        </c:ser>
        <c:dLbls/>
        <c:gapWidth val="40"/>
        <c:axId val="170051072"/>
        <c:axId val="170052608"/>
      </c:barChart>
      <c:catAx>
        <c:axId val="170051072"/>
        <c:scaling>
          <c:orientation val="maxMin"/>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0052608"/>
        <c:crosses val="autoZero"/>
        <c:auto val="1"/>
        <c:lblAlgn val="ctr"/>
        <c:lblOffset val="100"/>
      </c:catAx>
      <c:valAx>
        <c:axId val="170052608"/>
        <c:scaling>
          <c:orientation val="minMax"/>
        </c:scaling>
        <c:axPos val="b"/>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70051072"/>
        <c:crosses val="max"/>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52.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27444861699979833"/>
          <c:y val="0.23157661326816897"/>
          <c:w val="0.63641106400161518"/>
          <c:h val="0.68908800193079311"/>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numRef>
              <c:f>'Preguntas cuantitativas'!$A$41:$A$50</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'Preguntas cuantitativas'!$C$41:$C$50</c:f>
              <c:numCache>
                <c:formatCode>0%</c:formatCode>
                <c:ptCount val="10"/>
                <c:pt idx="0">
                  <c:v>0</c:v>
                </c:pt>
                <c:pt idx="1">
                  <c:v>0.1</c:v>
                </c:pt>
                <c:pt idx="2">
                  <c:v>0.2</c:v>
                </c:pt>
                <c:pt idx="3">
                  <c:v>0.60000000000000009</c:v>
                </c:pt>
                <c:pt idx="4">
                  <c:v>0</c:v>
                </c:pt>
                <c:pt idx="5">
                  <c:v>0.1</c:v>
                </c:pt>
                <c:pt idx="6">
                  <c:v>0</c:v>
                </c:pt>
                <c:pt idx="7">
                  <c:v>0</c:v>
                </c:pt>
                <c:pt idx="8">
                  <c:v>0</c:v>
                </c:pt>
                <c:pt idx="9">
                  <c:v>0</c:v>
                </c:pt>
              </c:numCache>
            </c:numRef>
          </c:val>
        </c:ser>
        <c:dLbls/>
        <c:gapWidth val="40"/>
        <c:axId val="170182912"/>
        <c:axId val="170192896"/>
      </c:barChart>
      <c:catAx>
        <c:axId val="170182912"/>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70192896"/>
        <c:crosses val="autoZero"/>
        <c:auto val="1"/>
        <c:lblAlgn val="ctr"/>
        <c:lblOffset val="100"/>
      </c:catAx>
      <c:valAx>
        <c:axId val="170192896"/>
        <c:scaling>
          <c:orientation val="minMax"/>
        </c:scaling>
        <c:axPos val="b"/>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70182912"/>
        <c:crosses val="max"/>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27444861699979833"/>
          <c:y val="0.23157661326816897"/>
          <c:w val="0.63641106400161518"/>
          <c:h val="0.68908800193079311"/>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numRef>
              <c:f>'Preguntas cuantitativas'!$A$74:$A$83</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'Preguntas cuantitativas'!$C$74:$C$83</c:f>
              <c:numCache>
                <c:formatCode>0%</c:formatCode>
                <c:ptCount val="10"/>
                <c:pt idx="0">
                  <c:v>0</c:v>
                </c:pt>
                <c:pt idx="1">
                  <c:v>0</c:v>
                </c:pt>
                <c:pt idx="2">
                  <c:v>0.1111111111111111</c:v>
                </c:pt>
                <c:pt idx="3">
                  <c:v>0.7777777777777779</c:v>
                </c:pt>
                <c:pt idx="4">
                  <c:v>0</c:v>
                </c:pt>
                <c:pt idx="5">
                  <c:v>0.1111111111111111</c:v>
                </c:pt>
                <c:pt idx="6">
                  <c:v>0</c:v>
                </c:pt>
                <c:pt idx="7">
                  <c:v>0</c:v>
                </c:pt>
                <c:pt idx="8">
                  <c:v>0</c:v>
                </c:pt>
                <c:pt idx="9">
                  <c:v>0</c:v>
                </c:pt>
              </c:numCache>
            </c:numRef>
          </c:val>
        </c:ser>
        <c:dLbls/>
        <c:gapWidth val="40"/>
        <c:axId val="170200064"/>
        <c:axId val="170222336"/>
      </c:barChart>
      <c:catAx>
        <c:axId val="170200064"/>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70222336"/>
        <c:crosses val="autoZero"/>
        <c:auto val="1"/>
        <c:lblAlgn val="ctr"/>
        <c:lblOffset val="100"/>
      </c:catAx>
      <c:valAx>
        <c:axId val="170222336"/>
        <c:scaling>
          <c:orientation val="minMax"/>
        </c:scaling>
        <c:axPos val="b"/>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70200064"/>
        <c:crosses val="max"/>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27444861699979833"/>
          <c:y val="0.23157661326816897"/>
          <c:w val="0.63641106400161518"/>
          <c:h val="0.68908800193079311"/>
        </c:manualLayout>
      </c:layout>
      <c:barChart>
        <c:barDir val="bar"/>
        <c:grouping val="clustered"/>
        <c:ser>
          <c:idx val="0"/>
          <c:order val="0"/>
          <c:spPr>
            <a:solidFill>
              <a:srgbClr val="409DAD"/>
            </a:solidFill>
            <a:ln w="3175">
              <a:solidFill>
                <a:srgbClr val="FFFFFF"/>
              </a:solidFill>
              <a:prstDash val="solid"/>
            </a:ln>
          </c:spPr>
          <c:dLbls>
            <c:spPr>
              <a:noFill/>
              <a:ln w="25400">
                <a:noFill/>
              </a:ln>
            </c:spPr>
            <c:showVal val="1"/>
            <c:extLst>
              <c:ext xmlns:c15="http://schemas.microsoft.com/office/drawing/2012/chart" uri="{CE6537A1-D6FC-4f65-9D91-7224C49458BB}">
                <c15:showLeaderLines val="0"/>
              </c:ext>
            </c:extLst>
          </c:dLbls>
          <c:cat>
            <c:numRef>
              <c:f>'Preguntas cuantitativas'!$A$102:$A$111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'Preguntas cuantitativas'!$C$102:$C$111</c:f>
              <c:numCache>
                <c:formatCode>0%</c:formatCode>
                <c:ptCount val="10"/>
                <c:pt idx="0">
                  <c:v>0.2</c:v>
                </c:pt>
                <c:pt idx="1">
                  <c:v>0.2</c:v>
                </c:pt>
                <c:pt idx="2">
                  <c:v>0.2</c:v>
                </c:pt>
                <c:pt idx="3">
                  <c:v>0.2</c:v>
                </c:pt>
                <c:pt idx="4">
                  <c:v>0.2</c:v>
                </c:pt>
                <c:pt idx="5">
                  <c:v>0</c:v>
                </c:pt>
                <c:pt idx="6">
                  <c:v>0</c:v>
                </c:pt>
                <c:pt idx="7">
                  <c:v>0</c:v>
                </c:pt>
                <c:pt idx="8">
                  <c:v>0</c:v>
                </c:pt>
                <c:pt idx="9">
                  <c:v>0</c:v>
                </c:pt>
              </c:numCache>
            </c:numRef>
          </c:val>
        </c:ser>
        <c:dLbls/>
        <c:gapWidth val="40"/>
        <c:axId val="170242048"/>
        <c:axId val="170243584"/>
      </c:barChart>
      <c:catAx>
        <c:axId val="170242048"/>
        <c:scaling>
          <c:orientation val="maxMin"/>
        </c:scaling>
        <c:axPos val="l"/>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70243584"/>
        <c:crosses val="autoZero"/>
        <c:auto val="1"/>
        <c:lblAlgn val="ctr"/>
        <c:lblOffset val="100"/>
      </c:catAx>
      <c:valAx>
        <c:axId val="170243584"/>
        <c:scaling>
          <c:orientation val="minMax"/>
        </c:scaling>
        <c:axPos val="b"/>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70242048"/>
        <c:crosses val="max"/>
        <c:crossBetween val="between"/>
      </c:valAx>
      <c:spPr>
        <a:noFill/>
        <a:ln w="25400">
          <a:noFill/>
        </a:ln>
      </c:spPr>
    </c:plotArea>
    <c:plotVisOnly val="1"/>
    <c:dispBlanksAs val="gap"/>
  </c:chart>
  <c:spPr>
    <a:noFill/>
    <a:ln w="6350">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55.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Puntuación Dimensión</a:t>
            </a:r>
            <a:r>
              <a:rPr lang="es-ES" baseline="0"/>
              <a:t> Financiera</a:t>
            </a:r>
            <a:endParaRPr lang="es-ES"/>
          </a:p>
        </c:rich>
      </c:tx>
      <c:layout>
        <c:manualLayout>
          <c:xMode val="edge"/>
          <c:yMode val="edge"/>
          <c:x val="0.22846837839610756"/>
          <c:y val="5.5464640921450994E-2"/>
        </c:manualLayout>
      </c:layout>
    </c:title>
    <c:plotArea>
      <c:layout>
        <c:manualLayout>
          <c:layoutTarget val="inner"/>
          <c:xMode val="edge"/>
          <c:yMode val="edge"/>
          <c:x val="7.1752166428779851E-2"/>
          <c:y val="0.23543245426349901"/>
          <c:w val="0.79576918192297919"/>
          <c:h val="0.47855849076885876"/>
        </c:manualLayout>
      </c:layout>
      <c:barChart>
        <c:barDir val="bar"/>
        <c:grouping val="clustered"/>
        <c:ser>
          <c:idx val="0"/>
          <c:order val="0"/>
          <c:spPr>
            <a:solidFill>
              <a:srgbClr val="92D050"/>
            </a:solidFill>
            <a:ln w="3175">
              <a:solidFill>
                <a:srgbClr val="FFFFFF"/>
              </a:solidFill>
              <a:prstDash val="solid"/>
            </a:ln>
          </c:spPr>
          <c:dLbls>
            <c:dLbl>
              <c:idx val="0"/>
              <c:tx>
                <c:rich>
                  <a:bodyPr/>
                  <a:lstStyle/>
                  <a:p>
                    <a:fld id="{C0E3E941-8BEE-44BD-B880-3E51B828BC8F}" type="VALUE">
                      <a:rPr lang="en-US" sz="900"/>
                      <a:pPr/>
                      <a:t>[VALUE]</a:t>
                    </a:fld>
                    <a:endParaRPr lang="es-ES"/>
                  </a:p>
                </c:rich>
              </c:tx>
              <c:showVal val="1"/>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700"/>
                </a:pPr>
                <a:endParaRPr lang="es-ES"/>
              </a:p>
            </c:txPr>
            <c:showVal val="1"/>
            <c:extLst>
              <c:ext xmlns:c15="http://schemas.microsoft.com/office/drawing/2012/chart" uri="{CE6537A1-D6FC-4f65-9D91-7224C49458BB}">
                <c15:showLeaderLines val="1"/>
              </c:ext>
            </c:extLst>
          </c:dLbls>
          <c:val>
            <c:numRef>
              <c:f>Evaluacion_financiera!$D$48</c:f>
              <c:numCache>
                <c:formatCode>General</c:formatCode>
                <c:ptCount val="1"/>
                <c:pt idx="0">
                  <c:v>93</c:v>
                </c:pt>
              </c:numCache>
            </c:numRef>
          </c:val>
        </c:ser>
        <c:dLbls/>
        <c:gapWidth val="40"/>
        <c:axId val="172393600"/>
        <c:axId val="172395136"/>
      </c:barChart>
      <c:catAx>
        <c:axId val="172393600"/>
        <c:scaling>
          <c:orientation val="minMax"/>
        </c:scaling>
        <c:axPos val="l"/>
        <c:tickLblPos val="none"/>
        <c:spPr>
          <a:ln w="3175">
            <a:noFill/>
            <a:prstDash val="solid"/>
          </a:ln>
        </c:spPr>
        <c:txPr>
          <a:bodyPr/>
          <a:lstStyle/>
          <a:p>
            <a:pPr>
              <a:defRPr>
                <a:solidFill>
                  <a:srgbClr val="000000"/>
                </a:solidFill>
              </a:defRPr>
            </a:pPr>
            <a:endParaRPr lang="es-ES"/>
          </a:p>
        </c:txPr>
        <c:crossAx val="172395136"/>
        <c:crosses val="autoZero"/>
        <c:auto val="1"/>
        <c:lblAlgn val="ctr"/>
        <c:lblOffset val="100"/>
      </c:catAx>
      <c:valAx>
        <c:axId val="172395136"/>
        <c:scaling>
          <c:orientation val="minMax"/>
        </c:scaling>
        <c:axPos val="b"/>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2393600"/>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Puntuación Dimensión</a:t>
            </a:r>
            <a:r>
              <a:rPr lang="es-ES" baseline="0"/>
              <a:t> Competitiva</a:t>
            </a:r>
            <a:endParaRPr lang="es-ES"/>
          </a:p>
        </c:rich>
      </c:tx>
      <c:layout>
        <c:manualLayout>
          <c:xMode val="edge"/>
          <c:yMode val="edge"/>
          <c:x val="0.19722222222222224"/>
          <c:y val="0.12124764147989449"/>
        </c:manualLayout>
      </c:layout>
    </c:title>
    <c:plotArea>
      <c:layout>
        <c:manualLayout>
          <c:layoutTarget val="inner"/>
          <c:xMode val="edge"/>
          <c:yMode val="edge"/>
          <c:x val="7.1752187226596695E-2"/>
          <c:y val="0.3130913798070159"/>
          <c:w val="0.74303958880139986"/>
          <c:h val="0.34727804124767103"/>
        </c:manualLayout>
      </c:layout>
      <c:barChart>
        <c:barDir val="bar"/>
        <c:grouping val="clustered"/>
        <c:ser>
          <c:idx val="0"/>
          <c:order val="0"/>
          <c:spPr>
            <a:solidFill>
              <a:srgbClr val="92D050"/>
            </a:solidFill>
            <a:ln w="3175">
              <a:solidFill>
                <a:srgbClr val="FFFFFF"/>
              </a:solidFill>
              <a:prstDash val="solid"/>
            </a:ln>
          </c:spPr>
          <c:dLbls>
            <c:dLbl>
              <c:idx val="0"/>
              <c:tx>
                <c:rich>
                  <a:bodyPr/>
                  <a:lstStyle/>
                  <a:p>
                    <a:fld id="{C0E3E941-8BEE-44BD-B880-3E51B828BC8F}" type="VALUE">
                      <a:rPr lang="en-US" sz="900"/>
                      <a:pPr/>
                      <a:t>[VALUE]</a:t>
                    </a:fld>
                    <a:endParaRPr lang="es-ES"/>
                  </a:p>
                </c:rich>
              </c:tx>
              <c:showVal val="1"/>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700"/>
                </a:pPr>
                <a:endParaRPr lang="es-ES"/>
              </a:p>
            </c:txPr>
            <c:showVal val="1"/>
            <c:extLst>
              <c:ext xmlns:c15="http://schemas.microsoft.com/office/drawing/2012/chart" uri="{CE6537A1-D6FC-4f65-9D91-7224C49458BB}">
                <c15:showLeaderLines val="1"/>
              </c:ext>
            </c:extLst>
          </c:dLbls>
          <c:val>
            <c:numRef>
              <c:f>Posicion_competitiva!$D$16</c:f>
              <c:numCache>
                <c:formatCode>General</c:formatCode>
                <c:ptCount val="1"/>
                <c:pt idx="0">
                  <c:v>50</c:v>
                </c:pt>
              </c:numCache>
            </c:numRef>
          </c:val>
        </c:ser>
        <c:dLbls/>
        <c:gapWidth val="40"/>
        <c:axId val="172604032"/>
        <c:axId val="172564864"/>
      </c:barChart>
      <c:catAx>
        <c:axId val="172604032"/>
        <c:scaling>
          <c:orientation val="minMax"/>
        </c:scaling>
        <c:axPos val="l"/>
        <c:tickLblPos val="none"/>
        <c:spPr>
          <a:ln w="3175">
            <a:noFill/>
            <a:prstDash val="solid"/>
          </a:ln>
        </c:spPr>
        <c:txPr>
          <a:bodyPr/>
          <a:lstStyle/>
          <a:p>
            <a:pPr>
              <a:defRPr>
                <a:solidFill>
                  <a:srgbClr val="000000"/>
                </a:solidFill>
              </a:defRPr>
            </a:pPr>
            <a:endParaRPr lang="es-ES"/>
          </a:p>
        </c:txPr>
        <c:crossAx val="172564864"/>
        <c:crosses val="autoZero"/>
        <c:auto val="1"/>
        <c:lblAlgn val="ctr"/>
        <c:lblOffset val="100"/>
      </c:catAx>
      <c:valAx>
        <c:axId val="172564864"/>
        <c:scaling>
          <c:orientation val="minMax"/>
          <c:max val="100"/>
        </c:scaling>
        <c:axPos val="b"/>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2604032"/>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57.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Puntuación Dimensión</a:t>
            </a:r>
            <a:r>
              <a:rPr lang="es-ES" baseline="0"/>
              <a:t> Social</a:t>
            </a:r>
            <a:endParaRPr lang="es-ES"/>
          </a:p>
        </c:rich>
      </c:tx>
      <c:layout>
        <c:manualLayout>
          <c:xMode val="edge"/>
          <c:yMode val="edge"/>
          <c:x val="0.19722222222222224"/>
          <c:y val="0.12124764147989449"/>
        </c:manualLayout>
      </c:layout>
    </c:title>
    <c:plotArea>
      <c:layout>
        <c:manualLayout>
          <c:layoutTarget val="inner"/>
          <c:xMode val="edge"/>
          <c:yMode val="edge"/>
          <c:x val="7.1752187226596695E-2"/>
          <c:y val="0.3130913798070159"/>
          <c:w val="0.74303958880139986"/>
          <c:h val="0.34727804124767103"/>
        </c:manualLayout>
      </c:layout>
      <c:barChart>
        <c:barDir val="bar"/>
        <c:grouping val="clustered"/>
        <c:ser>
          <c:idx val="0"/>
          <c:order val="0"/>
          <c:spPr>
            <a:solidFill>
              <a:srgbClr val="92D050"/>
            </a:solidFill>
            <a:ln w="3175">
              <a:solidFill>
                <a:srgbClr val="FFFFFF"/>
              </a:solidFill>
              <a:prstDash val="solid"/>
            </a:ln>
          </c:spPr>
          <c:dLbls>
            <c:dLbl>
              <c:idx val="0"/>
              <c:tx>
                <c:rich>
                  <a:bodyPr/>
                  <a:lstStyle/>
                  <a:p>
                    <a:fld id="{C0E3E941-8BEE-44BD-B880-3E51B828BC8F}" type="VALUE">
                      <a:rPr lang="en-US" sz="900"/>
                      <a:pPr/>
                      <a:t>[VALUE]</a:t>
                    </a:fld>
                    <a:endParaRPr lang="es-ES"/>
                  </a:p>
                </c:rich>
              </c:tx>
              <c:showVal val="1"/>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700"/>
                </a:pPr>
                <a:endParaRPr lang="es-ES"/>
              </a:p>
            </c:txPr>
            <c:showVal val="1"/>
            <c:extLst>
              <c:ext xmlns:c15="http://schemas.microsoft.com/office/drawing/2012/chart" uri="{CE6537A1-D6FC-4f65-9D91-7224C49458BB}">
                <c15:showLeaderLines val="1"/>
              </c:ext>
            </c:extLst>
          </c:dLbls>
          <c:val>
            <c:numRef>
              <c:f>Impacto_social!$C$61</c:f>
              <c:numCache>
                <c:formatCode>General</c:formatCode>
                <c:ptCount val="1"/>
                <c:pt idx="0">
                  <c:v>83</c:v>
                </c:pt>
              </c:numCache>
            </c:numRef>
          </c:val>
        </c:ser>
        <c:dLbls/>
        <c:gapWidth val="40"/>
        <c:axId val="172712320"/>
        <c:axId val="172713856"/>
      </c:barChart>
      <c:catAx>
        <c:axId val="172712320"/>
        <c:scaling>
          <c:orientation val="minMax"/>
        </c:scaling>
        <c:axPos val="l"/>
        <c:tickLblPos val="none"/>
        <c:spPr>
          <a:ln w="3175">
            <a:noFill/>
            <a:prstDash val="solid"/>
          </a:ln>
        </c:spPr>
        <c:txPr>
          <a:bodyPr/>
          <a:lstStyle/>
          <a:p>
            <a:pPr>
              <a:defRPr>
                <a:solidFill>
                  <a:srgbClr val="000000"/>
                </a:solidFill>
              </a:defRPr>
            </a:pPr>
            <a:endParaRPr lang="es-ES"/>
          </a:p>
        </c:txPr>
        <c:crossAx val="172713856"/>
        <c:crosses val="autoZero"/>
        <c:auto val="1"/>
        <c:lblAlgn val="ctr"/>
        <c:lblOffset val="100"/>
      </c:catAx>
      <c:valAx>
        <c:axId val="172713856"/>
        <c:scaling>
          <c:orientation val="minMax"/>
        </c:scaling>
        <c:axPos val="b"/>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2712320"/>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58.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4.0300421322586578E-2"/>
          <c:y val="0.1506879426141384"/>
          <c:w val="0.73337189326879137"/>
          <c:h val="0.47265857936912126"/>
        </c:manualLayout>
      </c:layout>
      <c:lineChart>
        <c:grouping val="standard"/>
        <c:ser>
          <c:idx val="0"/>
          <c:order val="0"/>
          <c:tx>
            <c:strRef>
              <c:f>Evaluacion_financiera!$C$7</c:f>
              <c:strCache>
                <c:ptCount val="1"/>
                <c:pt idx="0">
                  <c:v>Liquidez</c:v>
                </c:pt>
              </c:strCache>
            </c:strRef>
          </c:tx>
          <c:cat>
            <c:numRef>
              <c:f>Evaluacion_financiera!$B$9:$B$10</c:f>
              <c:numCache>
                <c:formatCode>General</c:formatCode>
                <c:ptCount val="2"/>
                <c:pt idx="0">
                  <c:v>2012</c:v>
                </c:pt>
                <c:pt idx="1">
                  <c:v>2011</c:v>
                </c:pt>
              </c:numCache>
            </c:numRef>
          </c:cat>
          <c:val>
            <c:numRef>
              <c:f>Evaluacion_financiera!$C$9:$C$10</c:f>
              <c:numCache>
                <c:formatCode>0.00</c:formatCode>
                <c:ptCount val="2"/>
                <c:pt idx="0">
                  <c:v>6.2729144920585664</c:v>
                </c:pt>
                <c:pt idx="1">
                  <c:v>6.8887377014862885</c:v>
                </c:pt>
              </c:numCache>
            </c:numRef>
          </c:val>
        </c:ser>
        <c:ser>
          <c:idx val="1"/>
          <c:order val="1"/>
          <c:tx>
            <c:strRef>
              <c:f>Evaluacion_financiera!$D$7</c:f>
              <c:strCache>
                <c:ptCount val="1"/>
                <c:pt idx="0">
                  <c:v>Solvencia</c:v>
                </c:pt>
              </c:strCache>
            </c:strRef>
          </c:tx>
          <c:cat>
            <c:numRef>
              <c:f>Evaluacion_financiera!$B$9:$B$10</c:f>
              <c:numCache>
                <c:formatCode>General</c:formatCode>
                <c:ptCount val="2"/>
                <c:pt idx="0">
                  <c:v>2012</c:v>
                </c:pt>
                <c:pt idx="1">
                  <c:v>2011</c:v>
                </c:pt>
              </c:numCache>
            </c:numRef>
          </c:cat>
          <c:val>
            <c:numRef>
              <c:f>Evaluacion_financiera!$D$9:$D$10</c:f>
              <c:numCache>
                <c:formatCode>0.00</c:formatCode>
                <c:ptCount val="2"/>
                <c:pt idx="0">
                  <c:v>8.3580838999069069</c:v>
                </c:pt>
                <c:pt idx="1">
                  <c:v>9.9100551252529474</c:v>
                </c:pt>
              </c:numCache>
            </c:numRef>
          </c:val>
        </c:ser>
        <c:dLbls/>
        <c:marker val="1"/>
        <c:axId val="172742144"/>
        <c:axId val="172743680"/>
      </c:lineChart>
      <c:catAx>
        <c:axId val="172742144"/>
        <c:scaling>
          <c:orientation val="maxMin"/>
        </c:scaling>
        <c:axPos val="b"/>
        <c:numFmt formatCode="General" sourceLinked="1"/>
        <c:tickLblPos val="nextTo"/>
        <c:crossAx val="172743680"/>
        <c:crosses val="autoZero"/>
        <c:auto val="1"/>
        <c:lblAlgn val="ctr"/>
        <c:lblOffset val="100"/>
      </c:catAx>
      <c:valAx>
        <c:axId val="172743680"/>
        <c:scaling>
          <c:orientation val="minMax"/>
        </c:scaling>
        <c:axPos val="r"/>
        <c:numFmt formatCode="0.00" sourceLinked="1"/>
        <c:tickLblPos val="nextTo"/>
        <c:crossAx val="172742144"/>
        <c:crosses val="autoZero"/>
        <c:crossBetween val="between"/>
      </c:valAx>
    </c:plotArea>
    <c:legend>
      <c:legendPos val="r"/>
      <c:layout>
        <c:manualLayout>
          <c:xMode val="edge"/>
          <c:yMode val="edge"/>
          <c:x val="0.11989274376057453"/>
          <c:y val="0.80470037092008861"/>
          <c:w val="0.69692352295494109"/>
          <c:h val="0.12897285602877911"/>
        </c:manualLayout>
      </c:layout>
    </c:legend>
    <c:plotVisOnly val="1"/>
    <c:dispBlanksAs val="gap"/>
  </c:chart>
  <c:spPr>
    <a:ln>
      <a:noFill/>
    </a:ln>
  </c:spPr>
  <c:externalData r:id="rId1"/>
  <c:userShapes r:id="rId2"/>
</c:chartSpace>
</file>

<file path=word/charts/chart59.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4.7404583981142501E-2"/>
          <c:y val="8.6103167452327142E-2"/>
          <c:w val="0.79862116074078082"/>
          <c:h val="0.52591691431957566"/>
        </c:manualLayout>
      </c:layout>
      <c:lineChart>
        <c:grouping val="standard"/>
        <c:ser>
          <c:idx val="2"/>
          <c:order val="0"/>
          <c:tx>
            <c:strRef>
              <c:f>Evaluacion_financiera!$E$7</c:f>
              <c:strCache>
                <c:ptCount val="1"/>
                <c:pt idx="0">
                  <c:v>Endeudamiento</c:v>
                </c:pt>
              </c:strCache>
            </c:strRef>
          </c:tx>
          <c:cat>
            <c:numRef>
              <c:f>Evaluacion_financiera!$B$9:$B$10</c:f>
              <c:numCache>
                <c:formatCode>General</c:formatCode>
                <c:ptCount val="2"/>
                <c:pt idx="0">
                  <c:v>2012</c:v>
                </c:pt>
                <c:pt idx="1">
                  <c:v>2011</c:v>
                </c:pt>
              </c:numCache>
            </c:numRef>
          </c:cat>
          <c:val>
            <c:numRef>
              <c:f>Evaluacion_financiera!$E$9:$E$10</c:f>
              <c:numCache>
                <c:formatCode>0.00</c:formatCode>
                <c:ptCount val="2"/>
                <c:pt idx="0">
                  <c:v>0</c:v>
                </c:pt>
                <c:pt idx="1">
                  <c:v>8.0272535045814077E-3</c:v>
                </c:pt>
              </c:numCache>
            </c:numRef>
          </c:val>
        </c:ser>
        <c:ser>
          <c:idx val="3"/>
          <c:order val="1"/>
          <c:tx>
            <c:strRef>
              <c:f>Evaluacion_financiera!$F$7</c:f>
              <c:strCache>
                <c:ptCount val="1"/>
                <c:pt idx="0">
                  <c:v>Rentabilidad</c:v>
                </c:pt>
              </c:strCache>
            </c:strRef>
          </c:tx>
          <c:cat>
            <c:numRef>
              <c:f>Evaluacion_financiera!$B$9:$B$10</c:f>
              <c:numCache>
                <c:formatCode>General</c:formatCode>
                <c:ptCount val="2"/>
                <c:pt idx="0">
                  <c:v>2012</c:v>
                </c:pt>
                <c:pt idx="1">
                  <c:v>2011</c:v>
                </c:pt>
              </c:numCache>
            </c:numRef>
          </c:cat>
          <c:val>
            <c:numRef>
              <c:f>Evaluacion_financiera!$F$9:$F$10</c:f>
              <c:numCache>
                <c:formatCode>0.00%</c:formatCode>
                <c:ptCount val="2"/>
                <c:pt idx="0">
                  <c:v>5.3651040378704891E-2</c:v>
                </c:pt>
                <c:pt idx="1">
                  <c:v>5.8559711909343965E-3</c:v>
                </c:pt>
              </c:numCache>
            </c:numRef>
          </c:val>
        </c:ser>
        <c:dLbls/>
        <c:marker val="1"/>
        <c:axId val="172883328"/>
        <c:axId val="173945984"/>
      </c:lineChart>
      <c:catAx>
        <c:axId val="172883328"/>
        <c:scaling>
          <c:orientation val="maxMin"/>
        </c:scaling>
        <c:axPos val="b"/>
        <c:numFmt formatCode="General" sourceLinked="1"/>
        <c:tickLblPos val="nextTo"/>
        <c:crossAx val="173945984"/>
        <c:crosses val="autoZero"/>
        <c:auto val="1"/>
        <c:lblAlgn val="ctr"/>
        <c:lblOffset val="100"/>
      </c:catAx>
      <c:valAx>
        <c:axId val="173945984"/>
        <c:scaling>
          <c:orientation val="minMax"/>
        </c:scaling>
        <c:axPos val="r"/>
        <c:numFmt formatCode="0.00" sourceLinked="1"/>
        <c:tickLblPos val="nextTo"/>
        <c:crossAx val="172883328"/>
        <c:crosses val="autoZero"/>
        <c:crossBetween val="between"/>
      </c:valAx>
    </c:plotArea>
    <c:legend>
      <c:legendPos val="r"/>
      <c:layout>
        <c:manualLayout>
          <c:xMode val="edge"/>
          <c:yMode val="edge"/>
          <c:x val="0"/>
          <c:y val="0.74420851327449544"/>
          <c:w val="0.97803562063630423"/>
          <c:h val="0.1786297237360723"/>
        </c:manualLayout>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lgn="l">
              <a:defRPr sz="900" b="1" i="0" u="none" strike="noStrike" kern="1200" spc="0" baseline="0">
                <a:solidFill>
                  <a:srgbClr val="00338D"/>
                </a:solidFill>
                <a:latin typeface="Arial"/>
                <a:ea typeface="Arial"/>
                <a:cs typeface="Arial"/>
              </a:defRPr>
            </a:pPr>
            <a:r>
              <a:rPr lang="es-ES_tradnl" sz="900" b="1" i="0" u="none" strike="noStrike" baseline="0">
                <a:effectLst/>
              </a:rPr>
              <a:t>Distribución</a:t>
            </a:r>
            <a:r>
              <a:rPr lang="en-US" sz="900" b="1" i="0" baseline="0">
                <a:effectLst/>
              </a:rPr>
              <a:t> de calificaciones financieras</a:t>
            </a:r>
            <a:endParaRPr lang="es-ES" sz="900">
              <a:effectLst/>
            </a:endParaRPr>
          </a:p>
        </c:rich>
      </c:tx>
      <c:layout>
        <c:manualLayout>
          <c:xMode val="edge"/>
          <c:yMode val="edge"/>
          <c:x val="0.27142865802282801"/>
          <c:y val="1.9234680535781751E-3"/>
        </c:manualLayout>
      </c:layout>
      <c:spPr>
        <a:noFill/>
        <a:ln>
          <a:noFill/>
        </a:ln>
        <a:effectLst/>
      </c:spPr>
    </c:title>
    <c:plotArea>
      <c:layout>
        <c:manualLayout>
          <c:layoutTarget val="inner"/>
          <c:xMode val="edge"/>
          <c:yMode val="edge"/>
          <c:x val="0.11794510686164229"/>
          <c:y val="0.15212491052254831"/>
          <c:w val="0.83919775028121479"/>
          <c:h val="0.77395848246241972"/>
        </c:manualLayout>
      </c:layout>
      <c:barChart>
        <c:barDir val="col"/>
        <c:grouping val="clustered"/>
        <c:ser>
          <c:idx val="0"/>
          <c:order val="0"/>
          <c:tx>
            <c:strRef>
              <c:f>Histogramas!$O$3</c:f>
              <c:strCache>
                <c:ptCount val="1"/>
                <c:pt idx="0">
                  <c:v>Centros</c:v>
                </c:pt>
              </c:strCache>
            </c:strRef>
          </c:tx>
          <c:spPr>
            <a:solidFill>
              <a:srgbClr val="409DAD"/>
            </a:solidFill>
            <a:ln w="3175">
              <a:solidFill>
                <a:srgbClr val="FFFFFF"/>
              </a:solidFill>
              <a:prstDash val="solid"/>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s-E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Histogramas!$N$4:$N$8</c:f>
              <c:strCache>
                <c:ptCount val="5"/>
                <c:pt idx="0">
                  <c:v>&lt;=20</c:v>
                </c:pt>
                <c:pt idx="1">
                  <c:v>20-40</c:v>
                </c:pt>
                <c:pt idx="2">
                  <c:v>40-60</c:v>
                </c:pt>
                <c:pt idx="3">
                  <c:v>60-80</c:v>
                </c:pt>
                <c:pt idx="4">
                  <c:v>&gt;80</c:v>
                </c:pt>
              </c:strCache>
            </c:strRef>
          </c:cat>
          <c:val>
            <c:numRef>
              <c:f>Histogramas!$O$4:$O$8</c:f>
              <c:numCache>
                <c:formatCode>General</c:formatCode>
                <c:ptCount val="5"/>
                <c:pt idx="0">
                  <c:v>7</c:v>
                </c:pt>
                <c:pt idx="1">
                  <c:v>28</c:v>
                </c:pt>
                <c:pt idx="2">
                  <c:v>39</c:v>
                </c:pt>
                <c:pt idx="3">
                  <c:v>42</c:v>
                </c:pt>
                <c:pt idx="4">
                  <c:v>44</c:v>
                </c:pt>
              </c:numCache>
            </c:numRef>
          </c:val>
        </c:ser>
        <c:dLbls>
          <c:showVal val="1"/>
        </c:dLbls>
        <c:gapWidth val="40"/>
        <c:axId val="130367872"/>
        <c:axId val="130369408"/>
      </c:barChart>
      <c:catAx>
        <c:axId val="130367872"/>
        <c:scaling>
          <c:orientation val="minMax"/>
        </c:scaling>
        <c:axPos val="b"/>
        <c:numFmt formatCode="General" sourceLinked="1"/>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0369408"/>
        <c:crosses val="autoZero"/>
        <c:auto val="1"/>
        <c:lblAlgn val="ctr"/>
        <c:lblOffset val="100"/>
      </c:catAx>
      <c:valAx>
        <c:axId val="130369408"/>
        <c:scaling>
          <c:orientation val="minMax"/>
        </c:scaling>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s-ES"/>
                  <a:t>Nº Centros</a:t>
                </a:r>
              </a:p>
            </c:rich>
          </c:tx>
          <c:layout>
            <c:manualLayout>
              <c:xMode val="edge"/>
              <c:yMode val="edge"/>
              <c:x val="2.5714285714285714E-2"/>
              <c:y val="0.3204108804581246"/>
            </c:manualLayout>
          </c:layout>
          <c:spPr>
            <a:noFill/>
            <a:ln>
              <a:noFill/>
            </a:ln>
            <a:effectLst/>
          </c:spPr>
        </c:title>
        <c:numFmt formatCode="General" sourceLinked="1"/>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s-ES"/>
          </a:p>
        </c:txPr>
        <c:crossAx val="130367872"/>
        <c:crosses val="autoZero"/>
        <c:crossBetween val="between"/>
      </c:valAx>
      <c:spPr>
        <a:noFill/>
        <a:ln w="25400">
          <a:noFill/>
        </a:ln>
        <a:effectLst/>
      </c:spPr>
    </c:plotArea>
    <c:plotVisOnly val="1"/>
    <c:dispBlanksAs val="gap"/>
  </c:chart>
  <c:spPr>
    <a:noFill/>
    <a:ln w="25400" cap="flat" cmpd="sng" algn="ctr">
      <a:noFill/>
      <a:round/>
    </a:ln>
    <a:effectLst/>
  </c:spPr>
  <c:txPr>
    <a:bodyPr/>
    <a:lstStyle/>
    <a:p>
      <a:pPr>
        <a:defRPr sz="800" b="0" i="0">
          <a:solidFill>
            <a:srgbClr val="000000"/>
          </a:solidFill>
          <a:latin typeface="Arial"/>
          <a:ea typeface="Arial"/>
          <a:cs typeface="Arial"/>
        </a:defRPr>
      </a:pPr>
      <a:endParaRPr lang="es-E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2.3392151567696633E-2"/>
          <c:y val="0.17741489700151117"/>
          <c:w val="0.73286442195628054"/>
          <c:h val="0.52554183567963109"/>
        </c:manualLayout>
      </c:layout>
      <c:lineChart>
        <c:grouping val="standard"/>
        <c:ser>
          <c:idx val="0"/>
          <c:order val="0"/>
          <c:tx>
            <c:strRef>
              <c:f>Recopilacion_informacion!$B$24</c:f>
              <c:strCache>
                <c:ptCount val="1"/>
                <c:pt idx="0">
                  <c:v>Beneficio neto (en euros)</c:v>
                </c:pt>
              </c:strCache>
            </c:strRef>
          </c:tx>
          <c:spPr>
            <a:ln>
              <a:solidFill>
                <a:srgbClr val="00B050"/>
              </a:solidFill>
            </a:ln>
          </c:spPr>
          <c:marker>
            <c:spPr>
              <a:solidFill>
                <a:srgbClr val="00B050"/>
              </a:solidFill>
              <a:ln>
                <a:solidFill>
                  <a:srgbClr val="00B050"/>
                </a:solidFill>
              </a:ln>
            </c:spPr>
          </c:marker>
          <c:dLbls>
            <c:dLbl>
              <c:idx val="0"/>
              <c:layout>
                <c:manualLayout>
                  <c:x val="-7.0461463401412169E-2"/>
                  <c:y val="-5.1197506561679783E-2"/>
                </c:manualLayout>
              </c:layout>
              <c:showVal val="1"/>
              <c:extLst>
                <c:ext xmlns:c15="http://schemas.microsoft.com/office/drawing/2012/chart" uri="{CE6537A1-D6FC-4f65-9D91-7224C49458BB}"/>
              </c:extLst>
            </c:dLbl>
            <c:dLbl>
              <c:idx val="1"/>
              <c:layout>
                <c:manualLayout>
                  <c:x val="-5.3107457953298028E-2"/>
                  <c:y val="-6.4679273045414779E-2"/>
                </c:manualLayout>
              </c:layou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Recopilacion_informacion!$D$22:$E$22</c:f>
              <c:strCache>
                <c:ptCount val="2"/>
                <c:pt idx="0">
                  <c:v>Año 2012</c:v>
                </c:pt>
                <c:pt idx="1">
                  <c:v>Año 2011</c:v>
                </c:pt>
              </c:strCache>
            </c:strRef>
          </c:cat>
          <c:val>
            <c:numRef>
              <c:f>Recopilacion_informacion!$D$24:$E$24</c:f>
              <c:numCache>
                <c:formatCode>_-* #,##0\ _€_-;\-* #,##0\ _€_-;_-* "-"??\ _€_-;_-@_-</c:formatCode>
                <c:ptCount val="2"/>
                <c:pt idx="0">
                  <c:v>15187</c:v>
                </c:pt>
                <c:pt idx="1">
                  <c:v>1418</c:v>
                </c:pt>
              </c:numCache>
            </c:numRef>
          </c:val>
        </c:ser>
        <c:ser>
          <c:idx val="1"/>
          <c:order val="1"/>
          <c:tx>
            <c:strRef>
              <c:f>Recopilacion_informacion!$B$23</c:f>
              <c:strCache>
                <c:ptCount val="1"/>
                <c:pt idx="0">
                  <c:v>Ventas (en euros)</c:v>
                </c:pt>
              </c:strCache>
            </c:strRef>
          </c:tx>
          <c:spPr>
            <a:ln>
              <a:solidFill>
                <a:schemeClr val="accent6"/>
              </a:solidFill>
            </a:ln>
          </c:spPr>
          <c:marker>
            <c:spPr>
              <a:solidFill>
                <a:schemeClr val="accent6"/>
              </a:solidFill>
              <a:ln>
                <a:solidFill>
                  <a:schemeClr val="accent6"/>
                </a:solidFill>
              </a:ln>
            </c:spPr>
          </c:marker>
          <c:dLbls>
            <c:dLbl>
              <c:idx val="0"/>
              <c:layout>
                <c:manualLayout>
                  <c:x val="-6.8846815834767719E-2"/>
                  <c:y val="5.681818181818183E-2"/>
                </c:manualLayout>
              </c:layout>
              <c:showVal val="1"/>
              <c:extLst>
                <c:ext xmlns:c15="http://schemas.microsoft.com/office/drawing/2012/chart" uri="{CE6537A1-D6FC-4f65-9D91-7224C49458BB}"/>
              </c:extLst>
            </c:dLbl>
            <c:dLbl>
              <c:idx val="1"/>
              <c:layout>
                <c:manualLayout>
                  <c:x val="-5.633648203613105E-2"/>
                  <c:y val="5.1686152867255218E-2"/>
                </c:manualLayout>
              </c:layou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Recopilacion_informacion!$D$22:$E$22</c:f>
              <c:strCache>
                <c:ptCount val="2"/>
                <c:pt idx="0">
                  <c:v>Año 2012</c:v>
                </c:pt>
                <c:pt idx="1">
                  <c:v>Año 2011</c:v>
                </c:pt>
              </c:strCache>
            </c:strRef>
          </c:cat>
          <c:val>
            <c:numRef>
              <c:f>Recopilacion_informacion!$D$23:$E$23</c:f>
              <c:numCache>
                <c:formatCode>_-* #,##0\ _€_-;\-* #,##0\ _€_-;_-* "-"??\ _€_-;_-@_-</c:formatCode>
                <c:ptCount val="2"/>
                <c:pt idx="0">
                  <c:v>283070</c:v>
                </c:pt>
                <c:pt idx="1">
                  <c:v>242146</c:v>
                </c:pt>
              </c:numCache>
            </c:numRef>
          </c:val>
        </c:ser>
        <c:dLbls/>
        <c:marker val="1"/>
        <c:axId val="173988864"/>
        <c:axId val="174084864"/>
      </c:lineChart>
      <c:catAx>
        <c:axId val="173988864"/>
        <c:scaling>
          <c:orientation val="maxMin"/>
        </c:scaling>
        <c:axPos val="b"/>
        <c:numFmt formatCode="General" sourceLinked="1"/>
        <c:tickLblPos val="nextTo"/>
        <c:crossAx val="174084864"/>
        <c:crosses val="autoZero"/>
        <c:auto val="1"/>
        <c:lblAlgn val="ctr"/>
        <c:lblOffset val="100"/>
      </c:catAx>
      <c:valAx>
        <c:axId val="174084864"/>
        <c:scaling>
          <c:orientation val="minMax"/>
        </c:scaling>
        <c:axPos val="r"/>
        <c:numFmt formatCode="_-* #,##0\ _€_-;\-* #,##0\ _€_-;_-* &quot;-&quot;??\ _€_-;_-@_-" sourceLinked="1"/>
        <c:tickLblPos val="nextTo"/>
        <c:crossAx val="173988864"/>
        <c:crosses val="autoZero"/>
        <c:crossBetween val="between"/>
      </c:valAx>
    </c:plotArea>
    <c:legend>
      <c:legendPos val="r"/>
      <c:layout>
        <c:manualLayout>
          <c:xMode val="edge"/>
          <c:yMode val="edge"/>
          <c:x val="0"/>
          <c:y val="0.85880159866380346"/>
          <c:w val="0.99802332357372292"/>
          <c:h val="0.14098266125825176"/>
        </c:manualLayout>
      </c:layout>
      <c:txPr>
        <a:bodyPr/>
        <a:lstStyle/>
        <a:p>
          <a:pPr>
            <a:defRPr sz="900"/>
          </a:pPr>
          <a:endParaRPr lang="es-ES"/>
        </a:p>
      </c:txPr>
    </c:legend>
    <c:plotVisOnly val="1"/>
    <c:dispBlanksAs val="gap"/>
  </c:chart>
  <c:spPr>
    <a:ln>
      <a:noFill/>
    </a:ln>
  </c:spPr>
  <c:externalData r:id="rId1"/>
  <c:userShapes r:id="rId2"/>
</c:chartSpace>
</file>

<file path=word/charts/chart61.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0.15816162372158157"/>
          <c:y val="0.24199259588920194"/>
          <c:w val="0.74433715138865852"/>
          <c:h val="0.44704320390642671"/>
        </c:manualLayout>
      </c:layout>
      <c:areaChart>
        <c:grouping val="standard"/>
        <c:ser>
          <c:idx val="0"/>
          <c:order val="0"/>
          <c:tx>
            <c:strRef>
              <c:f>Evaluacion_financiera!$B$55</c:f>
              <c:strCache>
                <c:ptCount val="1"/>
                <c:pt idx="0">
                  <c:v>Número de empleados con discapacidad</c:v>
                </c:pt>
              </c:strCache>
            </c:strRef>
          </c:tx>
          <c:spPr>
            <a:solidFill>
              <a:srgbClr val="409DAD"/>
            </a:solidFill>
            <a:ln w="3175">
              <a:solidFill>
                <a:srgbClr val="FFFFFF"/>
              </a:solidFill>
              <a:prstDash val="solid"/>
            </a:ln>
          </c:spPr>
          <c:cat>
            <c:numRef>
              <c:f>Evaluacion_financiera!$C$54:$E$54</c:f>
              <c:numCache>
                <c:formatCode>General</c:formatCode>
                <c:ptCount val="3"/>
                <c:pt idx="0">
                  <c:v>2011</c:v>
                </c:pt>
                <c:pt idx="1">
                  <c:v>2012</c:v>
                </c:pt>
                <c:pt idx="2">
                  <c:v>2013</c:v>
                </c:pt>
              </c:numCache>
            </c:numRef>
          </c:cat>
          <c:val>
            <c:numRef>
              <c:f>Evaluacion_financiera!$C$55:$E$55</c:f>
              <c:numCache>
                <c:formatCode>General</c:formatCode>
                <c:ptCount val="3"/>
                <c:pt idx="0">
                  <c:v>11</c:v>
                </c:pt>
                <c:pt idx="1">
                  <c:v>11</c:v>
                </c:pt>
                <c:pt idx="2">
                  <c:v>11</c:v>
                </c:pt>
              </c:numCache>
            </c:numRef>
          </c:val>
        </c:ser>
        <c:ser>
          <c:idx val="1"/>
          <c:order val="1"/>
          <c:tx>
            <c:strRef>
              <c:f>Evaluacion_financiera!$B$56</c:f>
              <c:strCache>
                <c:ptCount val="1"/>
                <c:pt idx="0">
                  <c:v>Empleados con discapacidad con contrato Indefinido</c:v>
                </c:pt>
              </c:strCache>
            </c:strRef>
          </c:tx>
          <c:spPr>
            <a:pattFill prst="dkUpDiag">
              <a:fgClr>
                <a:srgbClr val="409DAD"/>
              </a:fgClr>
              <a:bgClr>
                <a:schemeClr val="bg1"/>
              </a:bgClr>
            </a:pattFill>
            <a:ln w="3175">
              <a:solidFill>
                <a:srgbClr val="FFFFFF"/>
              </a:solidFill>
              <a:prstDash val="solid"/>
            </a:ln>
          </c:spPr>
          <c:cat>
            <c:numRef>
              <c:f>Evaluacion_financiera!$C$54:$E$54</c:f>
              <c:numCache>
                <c:formatCode>General</c:formatCode>
                <c:ptCount val="3"/>
                <c:pt idx="0">
                  <c:v>2011</c:v>
                </c:pt>
                <c:pt idx="1">
                  <c:v>2012</c:v>
                </c:pt>
                <c:pt idx="2">
                  <c:v>2013</c:v>
                </c:pt>
              </c:numCache>
            </c:numRef>
          </c:cat>
          <c:val>
            <c:numRef>
              <c:f>Evaluacion_financiera!$C$56:$E$56</c:f>
              <c:numCache>
                <c:formatCode>General</c:formatCode>
                <c:ptCount val="3"/>
                <c:pt idx="0">
                  <c:v>10</c:v>
                </c:pt>
                <c:pt idx="1">
                  <c:v>11</c:v>
                </c:pt>
                <c:pt idx="2">
                  <c:v>11</c:v>
                </c:pt>
              </c:numCache>
            </c:numRef>
          </c:val>
        </c:ser>
        <c:dLbls/>
        <c:axId val="174122496"/>
        <c:axId val="174124032"/>
      </c:areaChart>
      <c:catAx>
        <c:axId val="174122496"/>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74124032"/>
        <c:crosses val="autoZero"/>
        <c:auto val="1"/>
        <c:lblAlgn val="ctr"/>
        <c:lblOffset val="100"/>
      </c:catAx>
      <c:valAx>
        <c:axId val="174124032"/>
        <c:scaling>
          <c:orientation val="minMax"/>
          <c:min val="0"/>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4122496"/>
        <c:crosses val="autoZero"/>
        <c:crossBetween val="midCat"/>
        <c:majorUnit val="2"/>
      </c:valAx>
      <c:spPr>
        <a:noFill/>
        <a:ln w="25400">
          <a:noFill/>
        </a:ln>
      </c:spPr>
    </c:plotArea>
    <c:legend>
      <c:legendPos val="b"/>
      <c:legendEntry>
        <c:idx val="0"/>
        <c:txPr>
          <a:bodyPr/>
          <a:lstStyle/>
          <a:p>
            <a:pPr>
              <a:defRPr sz="700">
                <a:solidFill>
                  <a:srgbClr val="000000"/>
                </a:solidFill>
              </a:defRPr>
            </a:pPr>
            <a:endParaRPr lang="es-ES"/>
          </a:p>
        </c:txPr>
      </c:legendEntry>
      <c:legendEntry>
        <c:idx val="1"/>
        <c:txPr>
          <a:bodyPr/>
          <a:lstStyle/>
          <a:p>
            <a:pPr>
              <a:defRPr sz="700">
                <a:solidFill>
                  <a:srgbClr val="000000"/>
                </a:solidFill>
              </a:defRPr>
            </a:pPr>
            <a:endParaRPr lang="es-ES"/>
          </a:p>
        </c:txPr>
      </c:legendEntry>
      <c:layout>
        <c:manualLayout>
          <c:xMode val="edge"/>
          <c:yMode val="edge"/>
          <c:x val="3.7734320446592876E-2"/>
          <c:y val="0.84807600028840735"/>
          <c:w val="0.92958523496664813"/>
          <c:h val="0.14946010656151407"/>
        </c:manualLayout>
      </c:layout>
      <c:spPr>
        <a:noFill/>
        <a:ln w="25400">
          <a:noFill/>
        </a:ln>
      </c:spPr>
      <c:txPr>
        <a:bodyPr/>
        <a:lstStyle/>
        <a:p>
          <a:pPr>
            <a:defRPr>
              <a:solidFill>
                <a:srgbClr val="000000"/>
              </a:solidFill>
            </a:defRPr>
          </a:pPr>
          <a:endParaRPr lang="es-ES"/>
        </a:p>
      </c:txPr>
    </c:legend>
    <c:plotVisOnly val="1"/>
    <c:dispBlanksAs val="zero"/>
  </c:chart>
  <c:spPr>
    <a:noFill/>
    <a:ln w="9525">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sz="900" b="0">
                <a:solidFill>
                  <a:sysClr val="windowText" lastClr="000000"/>
                </a:solidFill>
              </a:rPr>
              <a:t>Evolución en el empleo de personas con discapacidad</a:t>
            </a:r>
          </a:p>
        </c:rich>
      </c:tx>
      <c:layout>
        <c:manualLayout>
          <c:xMode val="edge"/>
          <c:yMode val="edge"/>
          <c:x val="0.22158285210099621"/>
          <c:y val="5.5399325084364449E-3"/>
        </c:manualLayout>
      </c:layout>
    </c:title>
    <c:plotArea>
      <c:layout>
        <c:manualLayout>
          <c:layoutTarget val="inner"/>
          <c:xMode val="edge"/>
          <c:yMode val="edge"/>
          <c:x val="0.1071694985495234"/>
          <c:y val="0.18439478258266867"/>
          <c:w val="0.85287732444343223"/>
          <c:h val="0.49470260309686803"/>
        </c:manualLayout>
      </c:layout>
      <c:barChart>
        <c:barDir val="col"/>
        <c:grouping val="clustered"/>
        <c:ser>
          <c:idx val="0"/>
          <c:order val="0"/>
          <c:tx>
            <c:strRef>
              <c:f>Impacto_social!$C$50</c:f>
              <c:strCache>
                <c:ptCount val="1"/>
                <c:pt idx="0">
                  <c:v>2011</c:v>
                </c:pt>
              </c:strCache>
            </c:strRef>
          </c:tx>
          <c:spPr>
            <a:solidFill>
              <a:srgbClr val="409DAD"/>
            </a:solidFill>
            <a:ln w="3175">
              <a:solidFill>
                <a:srgbClr val="FFFFFF"/>
              </a:solidFill>
              <a:prstDash val="solid"/>
            </a:ln>
          </c:spPr>
          <c:dLbls>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Impacto_social!$B$51:$B$55</c:f>
              <c:strCache>
                <c:ptCount val="5"/>
                <c:pt idx="0">
                  <c:v>Empleados con Discapacidad</c:v>
                </c:pt>
                <c:pt idx="1">
                  <c:v>Empleados con Discapacidad elevada</c:v>
                </c:pt>
                <c:pt idx="2">
                  <c:v>Mujeres con discapacidad</c:v>
                </c:pt>
                <c:pt idx="3">
                  <c:v>Empleados con discapacidad sin estudios</c:v>
                </c:pt>
                <c:pt idx="4">
                  <c:v>Empleados con discapacidad con contrato indefinido</c:v>
                </c:pt>
              </c:strCache>
            </c:strRef>
          </c:cat>
          <c:val>
            <c:numRef>
              <c:f>Impacto_social!$C$51:$C$55</c:f>
              <c:numCache>
                <c:formatCode>General</c:formatCode>
                <c:ptCount val="5"/>
                <c:pt idx="0">
                  <c:v>11</c:v>
                </c:pt>
                <c:pt idx="1">
                  <c:v>9</c:v>
                </c:pt>
                <c:pt idx="2">
                  <c:v>6</c:v>
                </c:pt>
                <c:pt idx="3">
                  <c:v>10</c:v>
                </c:pt>
                <c:pt idx="4">
                  <c:v>10</c:v>
                </c:pt>
              </c:numCache>
            </c:numRef>
          </c:val>
        </c:ser>
        <c:ser>
          <c:idx val="1"/>
          <c:order val="1"/>
          <c:tx>
            <c:strRef>
              <c:f>Impacto_social!$D$50</c:f>
              <c:strCache>
                <c:ptCount val="1"/>
                <c:pt idx="0">
                  <c:v>2012</c:v>
                </c:pt>
              </c:strCache>
            </c:strRef>
          </c:tx>
          <c:spPr>
            <a:solidFill>
              <a:srgbClr val="BFDEE4"/>
            </a:solidFill>
            <a:ln w="3175">
              <a:solidFill>
                <a:srgbClr val="FFFFFF"/>
              </a:solidFill>
              <a:prstDash val="solid"/>
            </a:ln>
          </c:spPr>
          <c:dLbls>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Impacto_social!$B$51:$B$55</c:f>
              <c:strCache>
                <c:ptCount val="5"/>
                <c:pt idx="0">
                  <c:v>Empleados con Discapacidad</c:v>
                </c:pt>
                <c:pt idx="1">
                  <c:v>Empleados con Discapacidad elevada</c:v>
                </c:pt>
                <c:pt idx="2">
                  <c:v>Mujeres con discapacidad</c:v>
                </c:pt>
                <c:pt idx="3">
                  <c:v>Empleados con discapacidad sin estudios</c:v>
                </c:pt>
                <c:pt idx="4">
                  <c:v>Empleados con discapacidad con contrato indefinido</c:v>
                </c:pt>
              </c:strCache>
            </c:strRef>
          </c:cat>
          <c:val>
            <c:numRef>
              <c:f>Impacto_social!$D$51:$D$55</c:f>
              <c:numCache>
                <c:formatCode>General</c:formatCode>
                <c:ptCount val="5"/>
                <c:pt idx="0">
                  <c:v>11</c:v>
                </c:pt>
                <c:pt idx="1">
                  <c:v>9</c:v>
                </c:pt>
                <c:pt idx="2">
                  <c:v>6</c:v>
                </c:pt>
                <c:pt idx="3">
                  <c:v>10</c:v>
                </c:pt>
                <c:pt idx="4">
                  <c:v>11</c:v>
                </c:pt>
              </c:numCache>
            </c:numRef>
          </c:val>
        </c:ser>
        <c:ser>
          <c:idx val="2"/>
          <c:order val="2"/>
          <c:tx>
            <c:strRef>
              <c:f>Impacto_social!$E$50</c:f>
              <c:strCache>
                <c:ptCount val="1"/>
                <c:pt idx="0">
                  <c:v>2013</c:v>
                </c:pt>
              </c:strCache>
            </c:strRef>
          </c:tx>
          <c:spPr>
            <a:solidFill>
              <a:srgbClr val="AA5CAA"/>
            </a:solidFill>
            <a:ln w="3175">
              <a:solidFill>
                <a:srgbClr val="FFFFFF"/>
              </a:solidFill>
              <a:prstDash val="solid"/>
            </a:ln>
          </c:spPr>
          <c:dLbls>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Impacto_social!$B$51:$B$55</c:f>
              <c:strCache>
                <c:ptCount val="5"/>
                <c:pt idx="0">
                  <c:v>Empleados con Discapacidad</c:v>
                </c:pt>
                <c:pt idx="1">
                  <c:v>Empleados con Discapacidad elevada</c:v>
                </c:pt>
                <c:pt idx="2">
                  <c:v>Mujeres con discapacidad</c:v>
                </c:pt>
                <c:pt idx="3">
                  <c:v>Empleados con discapacidad sin estudios</c:v>
                </c:pt>
                <c:pt idx="4">
                  <c:v>Empleados con discapacidad con contrato indefinido</c:v>
                </c:pt>
              </c:strCache>
            </c:strRef>
          </c:cat>
          <c:val>
            <c:numRef>
              <c:f>Impacto_social!$E$51:$E$55</c:f>
              <c:numCache>
                <c:formatCode>General</c:formatCode>
                <c:ptCount val="5"/>
                <c:pt idx="0">
                  <c:v>11</c:v>
                </c:pt>
                <c:pt idx="1">
                  <c:v>9</c:v>
                </c:pt>
                <c:pt idx="2">
                  <c:v>6</c:v>
                </c:pt>
                <c:pt idx="3">
                  <c:v>10</c:v>
                </c:pt>
                <c:pt idx="4">
                  <c:v>11</c:v>
                </c:pt>
              </c:numCache>
            </c:numRef>
          </c:val>
        </c:ser>
        <c:dLbls/>
        <c:gapWidth val="40"/>
        <c:axId val="174225280"/>
        <c:axId val="174226816"/>
      </c:barChart>
      <c:catAx>
        <c:axId val="174225280"/>
        <c:scaling>
          <c:orientation val="minMax"/>
        </c:scaling>
        <c:axPos val="b"/>
        <c:numFmt formatCode="General" sourceLinked="1"/>
        <c:tickLblPos val="low"/>
        <c:spPr>
          <a:ln w="3175">
            <a:solidFill>
              <a:srgbClr val="000000"/>
            </a:solidFill>
            <a:prstDash val="solid"/>
          </a:ln>
        </c:spPr>
        <c:txPr>
          <a:bodyPr/>
          <a:lstStyle/>
          <a:p>
            <a:pPr>
              <a:defRPr sz="800">
                <a:solidFill>
                  <a:srgbClr val="000000"/>
                </a:solidFill>
              </a:defRPr>
            </a:pPr>
            <a:endParaRPr lang="es-ES"/>
          </a:p>
        </c:txPr>
        <c:crossAx val="174226816"/>
        <c:crosses val="autoZero"/>
        <c:auto val="1"/>
        <c:lblAlgn val="ctr"/>
        <c:lblOffset val="100"/>
      </c:catAx>
      <c:valAx>
        <c:axId val="174226816"/>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4225280"/>
        <c:crosses val="autoZero"/>
        <c:crossBetween val="between"/>
      </c:valAx>
      <c:spPr>
        <a:noFill/>
        <a:ln w="25400">
          <a:noFill/>
        </a:ln>
      </c:spPr>
    </c:plotArea>
    <c:legend>
      <c:legendPos val="b"/>
      <c:layout>
        <c:manualLayout>
          <c:xMode val="edge"/>
          <c:yMode val="edge"/>
          <c:x val="0.28376811658803053"/>
          <c:y val="0.94112209936688185"/>
          <c:w val="0.37891249518233266"/>
          <c:h val="5.6115843041472831E-2"/>
        </c:manualLayout>
      </c:layout>
      <c:spPr>
        <a:noFill/>
        <a:ln w="25400">
          <a:noFill/>
        </a:ln>
      </c:spPr>
      <c:txPr>
        <a:bodyPr/>
        <a:lstStyle/>
        <a:p>
          <a:pPr>
            <a:defRPr sz="900">
              <a:solidFill>
                <a:srgbClr val="000000"/>
              </a:solidFill>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Puntuación Dimensión</a:t>
            </a:r>
            <a:r>
              <a:rPr lang="es-ES" baseline="0"/>
              <a:t> Financiera</a:t>
            </a:r>
            <a:endParaRPr lang="es-ES"/>
          </a:p>
        </c:rich>
      </c:tx>
      <c:layout>
        <c:manualLayout>
          <c:xMode val="edge"/>
          <c:yMode val="edge"/>
          <c:x val="0.19722222222222224"/>
          <c:y val="0.12124764147989449"/>
        </c:manualLayout>
      </c:layout>
    </c:title>
    <c:plotArea>
      <c:layout>
        <c:manualLayout>
          <c:layoutTarget val="inner"/>
          <c:xMode val="edge"/>
          <c:yMode val="edge"/>
          <c:x val="7.1752187226596695E-2"/>
          <c:y val="0.3130913798070159"/>
          <c:w val="0.74303958880139986"/>
          <c:h val="0.34727804124767103"/>
        </c:manualLayout>
      </c:layout>
      <c:barChart>
        <c:barDir val="bar"/>
        <c:grouping val="clustered"/>
        <c:ser>
          <c:idx val="0"/>
          <c:order val="0"/>
          <c:spPr>
            <a:solidFill>
              <a:srgbClr val="92D050"/>
            </a:solidFill>
            <a:ln w="3175">
              <a:solidFill>
                <a:srgbClr val="FFFFFF"/>
              </a:solidFill>
              <a:prstDash val="solid"/>
            </a:ln>
          </c:spPr>
          <c:dLbls>
            <c:dLbl>
              <c:idx val="0"/>
              <c:tx>
                <c:rich>
                  <a:bodyPr/>
                  <a:lstStyle/>
                  <a:p>
                    <a:fld id="{C0E3E941-8BEE-44BD-B880-3E51B828BC8F}" type="VALUE">
                      <a:rPr lang="en-US" sz="900"/>
                      <a:pPr/>
                      <a:t>[VALUE]</a:t>
                    </a:fld>
                    <a:endParaRPr lang="es-ES"/>
                  </a:p>
                </c:rich>
              </c:tx>
              <c:showVal val="1"/>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700"/>
                </a:pPr>
                <a:endParaRPr lang="es-ES"/>
              </a:p>
            </c:txPr>
            <c:showVal val="1"/>
            <c:extLst>
              <c:ext xmlns:c15="http://schemas.microsoft.com/office/drawing/2012/chart" uri="{CE6537A1-D6FC-4f65-9D91-7224C49458BB}">
                <c15:showLeaderLines val="1"/>
              </c:ext>
            </c:extLst>
          </c:dLbls>
          <c:val>
            <c:numRef>
              <c:f>Evaluacion_financiera!$D$49</c:f>
              <c:numCache>
                <c:formatCode>General</c:formatCode>
                <c:ptCount val="1"/>
                <c:pt idx="0">
                  <c:v>100</c:v>
                </c:pt>
              </c:numCache>
            </c:numRef>
          </c:val>
        </c:ser>
        <c:dLbls/>
        <c:gapWidth val="40"/>
        <c:axId val="175742976"/>
        <c:axId val="175744512"/>
      </c:barChart>
      <c:catAx>
        <c:axId val="175742976"/>
        <c:scaling>
          <c:orientation val="minMax"/>
        </c:scaling>
        <c:delete val="1"/>
        <c:axPos val="l"/>
        <c:tickLblPos val="none"/>
        <c:crossAx val="175744512"/>
        <c:crosses val="autoZero"/>
        <c:auto val="1"/>
        <c:lblAlgn val="ctr"/>
        <c:lblOffset val="100"/>
      </c:catAx>
      <c:valAx>
        <c:axId val="175744512"/>
        <c:scaling>
          <c:orientation val="minMax"/>
        </c:scaling>
        <c:axPos val="b"/>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5742976"/>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Puntuación Dimensión</a:t>
            </a:r>
            <a:r>
              <a:rPr lang="es-ES" baseline="0"/>
              <a:t> Competitiva</a:t>
            </a:r>
            <a:endParaRPr lang="es-ES"/>
          </a:p>
        </c:rich>
      </c:tx>
      <c:layout>
        <c:manualLayout>
          <c:xMode val="edge"/>
          <c:yMode val="edge"/>
          <c:x val="0.19722222222222224"/>
          <c:y val="0.12124764147989449"/>
        </c:manualLayout>
      </c:layout>
    </c:title>
    <c:plotArea>
      <c:layout>
        <c:manualLayout>
          <c:layoutTarget val="inner"/>
          <c:xMode val="edge"/>
          <c:yMode val="edge"/>
          <c:x val="7.1752187226596695E-2"/>
          <c:y val="0.3130913798070159"/>
          <c:w val="0.74303958880139986"/>
          <c:h val="0.34727804124767103"/>
        </c:manualLayout>
      </c:layout>
      <c:barChart>
        <c:barDir val="bar"/>
        <c:grouping val="clustered"/>
        <c:ser>
          <c:idx val="0"/>
          <c:order val="0"/>
          <c:spPr>
            <a:solidFill>
              <a:srgbClr val="92D050"/>
            </a:solidFill>
            <a:ln w="3175">
              <a:solidFill>
                <a:srgbClr val="FFFFFF"/>
              </a:solidFill>
              <a:prstDash val="solid"/>
            </a:ln>
          </c:spPr>
          <c:dLbls>
            <c:dLbl>
              <c:idx val="0"/>
              <c:tx>
                <c:rich>
                  <a:bodyPr/>
                  <a:lstStyle/>
                  <a:p>
                    <a:fld id="{C0E3E941-8BEE-44BD-B880-3E51B828BC8F}" type="VALUE">
                      <a:rPr lang="en-US" sz="900"/>
                      <a:pPr/>
                      <a:t>[VALUE]</a:t>
                    </a:fld>
                    <a:endParaRPr lang="es-ES"/>
                  </a:p>
                </c:rich>
              </c:tx>
              <c:showVal val="1"/>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700"/>
                </a:pPr>
                <a:endParaRPr lang="es-ES"/>
              </a:p>
            </c:txPr>
            <c:showVal val="1"/>
            <c:extLst>
              <c:ext xmlns:c15="http://schemas.microsoft.com/office/drawing/2012/chart" uri="{CE6537A1-D6FC-4f65-9D91-7224C49458BB}">
                <c15:showLeaderLines val="1"/>
              </c:ext>
            </c:extLst>
          </c:dLbls>
          <c:val>
            <c:numRef>
              <c:f>Posicion_competitiva!$D$17</c:f>
              <c:numCache>
                <c:formatCode>0</c:formatCode>
                <c:ptCount val="1"/>
                <c:pt idx="0">
                  <c:v>43.75</c:v>
                </c:pt>
              </c:numCache>
            </c:numRef>
          </c:val>
        </c:ser>
        <c:dLbls/>
        <c:gapWidth val="40"/>
        <c:axId val="175801856"/>
        <c:axId val="175803392"/>
      </c:barChart>
      <c:catAx>
        <c:axId val="175801856"/>
        <c:scaling>
          <c:orientation val="minMax"/>
        </c:scaling>
        <c:axPos val="l"/>
        <c:tickLblPos val="none"/>
        <c:spPr>
          <a:ln w="3175">
            <a:noFill/>
            <a:prstDash val="solid"/>
          </a:ln>
        </c:spPr>
        <c:txPr>
          <a:bodyPr/>
          <a:lstStyle/>
          <a:p>
            <a:pPr>
              <a:defRPr>
                <a:solidFill>
                  <a:srgbClr val="000000"/>
                </a:solidFill>
              </a:defRPr>
            </a:pPr>
            <a:endParaRPr lang="es-ES"/>
          </a:p>
        </c:txPr>
        <c:crossAx val="175803392"/>
        <c:crosses val="autoZero"/>
        <c:auto val="1"/>
        <c:lblAlgn val="ctr"/>
        <c:lblOffset val="100"/>
      </c:catAx>
      <c:valAx>
        <c:axId val="175803392"/>
        <c:scaling>
          <c:orientation val="minMax"/>
          <c:max val="100"/>
        </c:scaling>
        <c:axPos val="b"/>
        <c:numFmt formatCode="0" sourceLinked="1"/>
        <c:tickLblPos val="nextTo"/>
        <c:spPr>
          <a:ln w="3175">
            <a:solidFill>
              <a:srgbClr val="000000"/>
            </a:solidFill>
            <a:prstDash val="solid"/>
          </a:ln>
        </c:spPr>
        <c:txPr>
          <a:bodyPr/>
          <a:lstStyle/>
          <a:p>
            <a:pPr>
              <a:defRPr>
                <a:solidFill>
                  <a:srgbClr val="000000"/>
                </a:solidFill>
              </a:defRPr>
            </a:pPr>
            <a:endParaRPr lang="es-ES"/>
          </a:p>
        </c:txPr>
        <c:crossAx val="175801856"/>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Puntuación Dimensión</a:t>
            </a:r>
            <a:r>
              <a:rPr lang="es-ES" baseline="0"/>
              <a:t> Social</a:t>
            </a:r>
            <a:endParaRPr lang="es-ES"/>
          </a:p>
        </c:rich>
      </c:tx>
      <c:layout>
        <c:manualLayout>
          <c:xMode val="edge"/>
          <c:yMode val="edge"/>
          <c:x val="0.19722222222222224"/>
          <c:y val="0.12124764147989449"/>
        </c:manualLayout>
      </c:layout>
    </c:title>
    <c:plotArea>
      <c:layout>
        <c:manualLayout>
          <c:layoutTarget val="inner"/>
          <c:xMode val="edge"/>
          <c:yMode val="edge"/>
          <c:x val="7.1752187226596695E-2"/>
          <c:y val="0.3130913798070159"/>
          <c:w val="0.74303958880139986"/>
          <c:h val="0.34727804124767103"/>
        </c:manualLayout>
      </c:layout>
      <c:barChart>
        <c:barDir val="bar"/>
        <c:grouping val="clustered"/>
        <c:ser>
          <c:idx val="0"/>
          <c:order val="0"/>
          <c:spPr>
            <a:solidFill>
              <a:srgbClr val="92D050"/>
            </a:solidFill>
            <a:ln w="3175">
              <a:solidFill>
                <a:srgbClr val="FFFFFF"/>
              </a:solidFill>
              <a:prstDash val="solid"/>
            </a:ln>
          </c:spPr>
          <c:dLbls>
            <c:dLbl>
              <c:idx val="0"/>
              <c:tx>
                <c:rich>
                  <a:bodyPr/>
                  <a:lstStyle/>
                  <a:p>
                    <a:fld id="{C0E3E941-8BEE-44BD-B880-3E51B828BC8F}" type="VALUE">
                      <a:rPr lang="en-US" sz="900"/>
                      <a:pPr/>
                      <a:t>[VALUE]</a:t>
                    </a:fld>
                    <a:endParaRPr lang="es-ES"/>
                  </a:p>
                </c:rich>
              </c:tx>
              <c:showVal val="1"/>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700"/>
                </a:pPr>
                <a:endParaRPr lang="es-ES"/>
              </a:p>
            </c:txPr>
            <c:showVal val="1"/>
            <c:extLst>
              <c:ext xmlns:c15="http://schemas.microsoft.com/office/drawing/2012/chart" uri="{CE6537A1-D6FC-4f65-9D91-7224C49458BB}">
                <c15:showLeaderLines val="1"/>
              </c:ext>
            </c:extLst>
          </c:dLbls>
          <c:val>
            <c:numRef>
              <c:f>Impacto_social!$C$68</c:f>
              <c:numCache>
                <c:formatCode>General</c:formatCode>
                <c:ptCount val="1"/>
                <c:pt idx="0">
                  <c:v>75</c:v>
                </c:pt>
              </c:numCache>
            </c:numRef>
          </c:val>
        </c:ser>
        <c:dLbls/>
        <c:gapWidth val="40"/>
        <c:axId val="177024000"/>
        <c:axId val="177029888"/>
      </c:barChart>
      <c:catAx>
        <c:axId val="177024000"/>
        <c:scaling>
          <c:orientation val="minMax"/>
        </c:scaling>
        <c:delete val="1"/>
        <c:axPos val="l"/>
        <c:tickLblPos val="none"/>
        <c:crossAx val="177029888"/>
        <c:crosses val="autoZero"/>
        <c:auto val="1"/>
        <c:lblAlgn val="ctr"/>
        <c:lblOffset val="100"/>
      </c:catAx>
      <c:valAx>
        <c:axId val="177029888"/>
        <c:scaling>
          <c:orientation val="minMax"/>
        </c:scaling>
        <c:axPos val="b"/>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7024000"/>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userShapes r:id="rId2"/>
</c:chartSpace>
</file>

<file path=word/charts/chart66.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
          <c:y val="4.0401135864842827E-2"/>
          <c:w val="0.85576041887699228"/>
          <c:h val="0.71470891223921262"/>
        </c:manualLayout>
      </c:layout>
      <c:lineChart>
        <c:grouping val="standard"/>
        <c:ser>
          <c:idx val="0"/>
          <c:order val="0"/>
          <c:tx>
            <c:strRef>
              <c:f>Evaluacion_financiera!$C$7</c:f>
              <c:strCache>
                <c:ptCount val="1"/>
                <c:pt idx="0">
                  <c:v>Liquidez</c:v>
                </c:pt>
              </c:strCache>
            </c:strRef>
          </c:tx>
          <c:dLbls>
            <c:dLbl>
              <c:idx val="1"/>
              <c:layout>
                <c:manualLayout>
                  <c:x val="-1.9841266741459394E-2"/>
                  <c:y val="-4.7477744807121684E-2"/>
                </c:manualLayout>
              </c:layou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numRef>
              <c:f>Evaluacion_financiera!$B$9:$B$10</c:f>
              <c:numCache>
                <c:formatCode>General</c:formatCode>
                <c:ptCount val="2"/>
                <c:pt idx="0">
                  <c:v>2012</c:v>
                </c:pt>
                <c:pt idx="1">
                  <c:v>2011</c:v>
                </c:pt>
              </c:numCache>
            </c:numRef>
          </c:cat>
          <c:val>
            <c:numRef>
              <c:f>Evaluacion_financiera!$C$9:$C$10</c:f>
              <c:numCache>
                <c:formatCode>0.00</c:formatCode>
                <c:ptCount val="2"/>
                <c:pt idx="0">
                  <c:v>2.3215652427103701</c:v>
                </c:pt>
                <c:pt idx="1">
                  <c:v>1.4840749857981441</c:v>
                </c:pt>
              </c:numCache>
            </c:numRef>
          </c:val>
        </c:ser>
        <c:ser>
          <c:idx val="1"/>
          <c:order val="1"/>
          <c:tx>
            <c:strRef>
              <c:f>Evaluacion_financiera!$D$7</c:f>
              <c:strCache>
                <c:ptCount val="1"/>
                <c:pt idx="0">
                  <c:v>Solvencia</c:v>
                </c:pt>
              </c:strCache>
            </c:strRef>
          </c:tx>
          <c:dLbls>
            <c:dLbl>
              <c:idx val="1"/>
              <c:layout>
                <c:manualLayout>
                  <c:x val="-2.380952008975127E-2"/>
                  <c:y val="-4.7477744807121698E-2"/>
                </c:manualLayout>
              </c:layou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numRef>
              <c:f>Evaluacion_financiera!$B$9:$B$10</c:f>
              <c:numCache>
                <c:formatCode>General</c:formatCode>
                <c:ptCount val="2"/>
                <c:pt idx="0">
                  <c:v>2012</c:v>
                </c:pt>
                <c:pt idx="1">
                  <c:v>2011</c:v>
                </c:pt>
              </c:numCache>
            </c:numRef>
          </c:cat>
          <c:val>
            <c:numRef>
              <c:f>Evaluacion_financiera!$D$9:$D$10</c:f>
              <c:numCache>
                <c:formatCode>0.00</c:formatCode>
                <c:ptCount val="2"/>
                <c:pt idx="0">
                  <c:v>4.8530330278588423</c:v>
                </c:pt>
                <c:pt idx="1">
                  <c:v>4.6778181339492466</c:v>
                </c:pt>
              </c:numCache>
            </c:numRef>
          </c:val>
        </c:ser>
        <c:dLbls/>
        <c:marker val="1"/>
        <c:axId val="177067904"/>
        <c:axId val="177069440"/>
      </c:lineChart>
      <c:catAx>
        <c:axId val="177067904"/>
        <c:scaling>
          <c:orientation val="maxMin"/>
        </c:scaling>
        <c:axPos val="b"/>
        <c:numFmt formatCode="General" sourceLinked="1"/>
        <c:tickLblPos val="nextTo"/>
        <c:crossAx val="177069440"/>
        <c:crosses val="autoZero"/>
        <c:auto val="1"/>
        <c:lblAlgn val="ctr"/>
        <c:lblOffset val="100"/>
      </c:catAx>
      <c:valAx>
        <c:axId val="177069440"/>
        <c:scaling>
          <c:orientation val="minMax"/>
        </c:scaling>
        <c:axPos val="r"/>
        <c:numFmt formatCode="0.00" sourceLinked="1"/>
        <c:tickLblPos val="nextTo"/>
        <c:crossAx val="177067904"/>
        <c:crosses val="autoZero"/>
        <c:crossBetween val="between"/>
      </c:valAx>
    </c:plotArea>
    <c:legend>
      <c:legendPos val="r"/>
      <c:layout>
        <c:manualLayout>
          <c:xMode val="edge"/>
          <c:yMode val="edge"/>
          <c:x val="0.21230747467564373"/>
          <c:y val="0.85220185787356795"/>
          <c:w val="0.63717055397208644"/>
          <c:h val="0.14315032293318278"/>
        </c:manualLayout>
      </c:layout>
    </c:legend>
    <c:plotVisOnly val="1"/>
    <c:dispBlanksAs val="gap"/>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2.6748966859634026E-2"/>
          <c:y val="5.1839840494715607E-2"/>
          <c:w val="0.79616213813103276"/>
          <c:h val="0.69438740157480328"/>
        </c:manualLayout>
      </c:layout>
      <c:lineChart>
        <c:grouping val="standard"/>
        <c:ser>
          <c:idx val="2"/>
          <c:order val="0"/>
          <c:tx>
            <c:strRef>
              <c:f>Evaluacion_financiera!$E$7</c:f>
              <c:strCache>
                <c:ptCount val="1"/>
                <c:pt idx="0">
                  <c:v>Endeudamiento</c:v>
                </c:pt>
              </c:strCache>
            </c:strRef>
          </c:tx>
          <c:dLbls>
            <c:dLbl>
              <c:idx val="0"/>
              <c:layout>
                <c:manualLayout>
                  <c:x val="-4.9382708048555136E-2"/>
                  <c:y val="-4.3521266073194849E-2"/>
                </c:manualLayout>
              </c:layout>
              <c:showVal val="1"/>
              <c:extLst>
                <c:ext xmlns:c15="http://schemas.microsoft.com/office/drawing/2012/chart" uri="{CE6537A1-D6FC-4f65-9D91-7224C49458BB}"/>
              </c:extLst>
            </c:dLbl>
            <c:dLbl>
              <c:idx val="1"/>
              <c:layout>
                <c:manualLayout>
                  <c:x val="-4.7325095213198692E-2"/>
                  <c:y val="-4.3521266073194877E-2"/>
                </c:manualLayout>
              </c:layou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numRef>
              <c:f>Evaluacion_financiera!$B$9:$B$10</c:f>
              <c:numCache>
                <c:formatCode>General</c:formatCode>
                <c:ptCount val="2"/>
                <c:pt idx="0">
                  <c:v>2012</c:v>
                </c:pt>
                <c:pt idx="1">
                  <c:v>2011</c:v>
                </c:pt>
              </c:numCache>
            </c:numRef>
          </c:cat>
          <c:val>
            <c:numRef>
              <c:f>Evaluacion_financiera!$E$9:$E$10</c:f>
              <c:numCache>
                <c:formatCode>0.00</c:formatCode>
                <c:ptCount val="2"/>
                <c:pt idx="0">
                  <c:v>0.25953579758326312</c:v>
                </c:pt>
                <c:pt idx="1">
                  <c:v>0.18664666605927294</c:v>
                </c:pt>
              </c:numCache>
            </c:numRef>
          </c:val>
        </c:ser>
        <c:ser>
          <c:idx val="3"/>
          <c:order val="1"/>
          <c:tx>
            <c:strRef>
              <c:f>Evaluacion_financiera!$F$7</c:f>
              <c:strCache>
                <c:ptCount val="1"/>
                <c:pt idx="0">
                  <c:v>Rentabilidad</c:v>
                </c:pt>
              </c:strCache>
            </c:strRef>
          </c:tx>
          <c:dLbls>
            <c:dLbl>
              <c:idx val="0"/>
              <c:layout>
                <c:manualLayout>
                  <c:x val="-4.115225670712927E-2"/>
                  <c:y val="-5.1434223541048478E-2"/>
                </c:manualLayout>
              </c:layout>
              <c:showVal val="1"/>
              <c:extLst>
                <c:ext xmlns:c15="http://schemas.microsoft.com/office/drawing/2012/chart" uri="{CE6537A1-D6FC-4f65-9D91-7224C49458BB}"/>
              </c:extLst>
            </c:dLbl>
            <c:dLbl>
              <c:idx val="1"/>
              <c:tx>
                <c:rich>
                  <a:bodyPr lIns="38100" tIns="19050" rIns="38100" bIns="19050">
                    <a:spAutoFit/>
                  </a:bodyPr>
                  <a:lstStyle/>
                  <a:p>
                    <a:pPr>
                      <a:defRPr/>
                    </a:pPr>
                    <a:r>
                      <a:rPr lang="en-US"/>
                      <a:t>0,12</a:t>
                    </a:r>
                  </a:p>
                </c:rich>
              </c:tx>
              <c:spPr/>
              <c:dLblPos val="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numRef>
              <c:f>Evaluacion_financiera!$B$9:$B$10</c:f>
              <c:numCache>
                <c:formatCode>General</c:formatCode>
                <c:ptCount val="2"/>
                <c:pt idx="0">
                  <c:v>2012</c:v>
                </c:pt>
                <c:pt idx="1">
                  <c:v>2011</c:v>
                </c:pt>
              </c:numCache>
            </c:numRef>
          </c:cat>
          <c:val>
            <c:numRef>
              <c:f>Evaluacion_financiera!$F$9:$F$10</c:f>
              <c:numCache>
                <c:formatCode>_(* #,##0.00_);_(* \(#,##0.00\);_(* "-"??_);_(@_)</c:formatCode>
                <c:ptCount val="2"/>
                <c:pt idx="0">
                  <c:v>0.14011690289231252</c:v>
                </c:pt>
                <c:pt idx="1">
                  <c:v>0.12035500722769599</c:v>
                </c:pt>
              </c:numCache>
            </c:numRef>
          </c:val>
        </c:ser>
        <c:dLbls/>
        <c:marker val="1"/>
        <c:axId val="177324800"/>
        <c:axId val="177326336"/>
      </c:lineChart>
      <c:catAx>
        <c:axId val="177324800"/>
        <c:scaling>
          <c:orientation val="maxMin"/>
        </c:scaling>
        <c:axPos val="b"/>
        <c:numFmt formatCode="General" sourceLinked="1"/>
        <c:tickLblPos val="nextTo"/>
        <c:crossAx val="177326336"/>
        <c:crosses val="autoZero"/>
        <c:auto val="1"/>
        <c:lblAlgn val="ctr"/>
        <c:lblOffset val="100"/>
      </c:catAx>
      <c:valAx>
        <c:axId val="177326336"/>
        <c:scaling>
          <c:orientation val="minMax"/>
        </c:scaling>
        <c:axPos val="r"/>
        <c:numFmt formatCode="0.00" sourceLinked="1"/>
        <c:tickLblPos val="nextTo"/>
        <c:crossAx val="177324800"/>
        <c:crosses val="autoZero"/>
        <c:crossBetween val="between"/>
      </c:valAx>
    </c:plotArea>
    <c:legend>
      <c:legendPos val="r"/>
      <c:layout>
        <c:manualLayout>
          <c:xMode val="edge"/>
          <c:yMode val="edge"/>
          <c:x val="7.6068981809591332E-2"/>
          <c:y val="0.8499552755905514"/>
          <c:w val="0.84360973304984666"/>
          <c:h val="0.1213404638413372"/>
        </c:manualLayout>
      </c:layout>
    </c:legend>
    <c:plotVisOnly val="1"/>
    <c:dispBlanksAs val="gap"/>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
          <c:y val="7.2130579053340887E-2"/>
          <c:w val="0.73836184356554113"/>
          <c:h val="0.56022982676298427"/>
        </c:manualLayout>
      </c:layout>
      <c:lineChart>
        <c:grouping val="standard"/>
        <c:ser>
          <c:idx val="0"/>
          <c:order val="0"/>
          <c:tx>
            <c:strRef>
              <c:f>Recopilacion_informacion!$B$24</c:f>
              <c:strCache>
                <c:ptCount val="1"/>
                <c:pt idx="0">
                  <c:v>Beneficio neto (en euros)</c:v>
                </c:pt>
              </c:strCache>
            </c:strRef>
          </c:tx>
          <c:spPr>
            <a:ln>
              <a:solidFill>
                <a:srgbClr val="00B050"/>
              </a:solidFill>
            </a:ln>
          </c:spPr>
          <c:marker>
            <c:spPr>
              <a:solidFill>
                <a:srgbClr val="00B050"/>
              </a:solidFill>
              <a:ln>
                <a:solidFill>
                  <a:srgbClr val="00B050"/>
                </a:solidFill>
              </a:ln>
            </c:spPr>
          </c:marker>
          <c:dLbls>
            <c:dLbl>
              <c:idx val="0"/>
              <c:layout>
                <c:manualLayout>
                  <c:x val="-0.12763542517051588"/>
                  <c:y val="-6.3918021807967657E-2"/>
                </c:manualLayout>
              </c:layout>
              <c:showVal val="1"/>
              <c:extLst>
                <c:ext xmlns:c15="http://schemas.microsoft.com/office/drawing/2012/chart" uri="{CE6537A1-D6FC-4f65-9D91-7224C49458BB}"/>
              </c:extLst>
            </c:dLbl>
            <c:dLbl>
              <c:idx val="1"/>
              <c:layout>
                <c:manualLayout>
                  <c:x val="-1.1799410029498523E-2"/>
                  <c:y val="-3.9426523297491169E-2"/>
                </c:manualLayout>
              </c:layou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Recopilacion_informacion!$D$22:$E$22</c:f>
              <c:strCache>
                <c:ptCount val="2"/>
                <c:pt idx="0">
                  <c:v>Año 2012</c:v>
                </c:pt>
                <c:pt idx="1">
                  <c:v>Año 2011</c:v>
                </c:pt>
              </c:strCache>
            </c:strRef>
          </c:cat>
          <c:val>
            <c:numRef>
              <c:f>Recopilacion_informacion!$D$24:$E$24</c:f>
              <c:numCache>
                <c:formatCode>_-* #,##0\ _€_-;\-* #,##0\ _€_-;_-* "-"??\ _€_-;_-@_-</c:formatCode>
                <c:ptCount val="2"/>
                <c:pt idx="0">
                  <c:v>100944</c:v>
                </c:pt>
                <c:pt idx="1">
                  <c:v>84307</c:v>
                </c:pt>
              </c:numCache>
            </c:numRef>
          </c:val>
        </c:ser>
        <c:ser>
          <c:idx val="1"/>
          <c:order val="1"/>
          <c:tx>
            <c:strRef>
              <c:f>Recopilacion_informacion!$B$23</c:f>
              <c:strCache>
                <c:ptCount val="1"/>
                <c:pt idx="0">
                  <c:v>Ventas (en euros)</c:v>
                </c:pt>
              </c:strCache>
            </c:strRef>
          </c:tx>
          <c:spPr>
            <a:ln>
              <a:solidFill>
                <a:schemeClr val="accent6"/>
              </a:solidFill>
            </a:ln>
          </c:spPr>
          <c:marker>
            <c:spPr>
              <a:solidFill>
                <a:schemeClr val="accent6"/>
              </a:solidFill>
              <a:ln>
                <a:solidFill>
                  <a:schemeClr val="accent6"/>
                </a:solidFill>
              </a:ln>
            </c:spPr>
          </c:marker>
          <c:dLbls>
            <c:dLbl>
              <c:idx val="0"/>
              <c:layout>
                <c:manualLayout>
                  <c:x val="-7.5282308657465491E-2"/>
                  <c:y val="-6.7052727826882069E-2"/>
                </c:manualLayout>
              </c:layout>
              <c:showVal val="1"/>
              <c:extLst>
                <c:ext xmlns:c15="http://schemas.microsoft.com/office/drawing/2012/chart" uri="{CE6537A1-D6FC-4f65-9D91-7224C49458BB}"/>
              </c:extLst>
            </c:dLbl>
            <c:dLbl>
              <c:idx val="1"/>
              <c:layout>
                <c:manualLayout>
                  <c:x val="-2.1913190054782976E-2"/>
                  <c:y val="-4.3010752688172053E-2"/>
                </c:manualLayout>
              </c:layout>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Recopilacion_informacion!$D$22:$E$22</c:f>
              <c:strCache>
                <c:ptCount val="2"/>
                <c:pt idx="0">
                  <c:v>Año 2012</c:v>
                </c:pt>
                <c:pt idx="1">
                  <c:v>Año 2011</c:v>
                </c:pt>
              </c:strCache>
            </c:strRef>
          </c:cat>
          <c:val>
            <c:numRef>
              <c:f>Recopilacion_informacion!$D$23:$E$23</c:f>
              <c:numCache>
                <c:formatCode>_-* #,##0\ _€_-;\-* #,##0\ _€_-;_-* "-"??\ _€_-;_-@_-</c:formatCode>
                <c:ptCount val="2"/>
                <c:pt idx="0">
                  <c:v>720427</c:v>
                </c:pt>
                <c:pt idx="1">
                  <c:v>700486.02</c:v>
                </c:pt>
              </c:numCache>
            </c:numRef>
          </c:val>
        </c:ser>
        <c:dLbls/>
        <c:marker val="1"/>
        <c:axId val="177384064"/>
        <c:axId val="177480064"/>
      </c:lineChart>
      <c:catAx>
        <c:axId val="177384064"/>
        <c:scaling>
          <c:orientation val="maxMin"/>
        </c:scaling>
        <c:axPos val="b"/>
        <c:numFmt formatCode="General" sourceLinked="1"/>
        <c:tickLblPos val="nextTo"/>
        <c:crossAx val="177480064"/>
        <c:crosses val="autoZero"/>
        <c:auto val="1"/>
        <c:lblAlgn val="ctr"/>
        <c:lblOffset val="100"/>
      </c:catAx>
      <c:valAx>
        <c:axId val="177480064"/>
        <c:scaling>
          <c:orientation val="minMax"/>
        </c:scaling>
        <c:axPos val="r"/>
        <c:numFmt formatCode="_-* #,##0\ _€_-;\-* #,##0\ _€_-;_-* &quot;-&quot;??\ _€_-;_-@_-" sourceLinked="1"/>
        <c:tickLblPos val="nextTo"/>
        <c:crossAx val="177384064"/>
        <c:crosses val="autoZero"/>
        <c:crossBetween val="between"/>
      </c:valAx>
    </c:plotArea>
    <c:legend>
      <c:legendPos val="r"/>
      <c:layout>
        <c:manualLayout>
          <c:xMode val="edge"/>
          <c:yMode val="edge"/>
          <c:x val="2.8498444383415287E-2"/>
          <c:y val="0.81830248097600511"/>
          <c:w val="0.89746963067743601"/>
          <c:h val="0.18020247469066367"/>
        </c:manualLayout>
      </c:layout>
    </c:legend>
    <c:plotVisOnly val="1"/>
    <c:dispBlanksAs val="gap"/>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9.524661861823723E-2"/>
          <c:y val="0.21680988442943178"/>
          <c:w val="0.82965257493014988"/>
          <c:h val="0.47415424617573421"/>
        </c:manualLayout>
      </c:layout>
      <c:areaChart>
        <c:grouping val="standard"/>
        <c:ser>
          <c:idx val="0"/>
          <c:order val="0"/>
          <c:tx>
            <c:strRef>
              <c:f>Impacto_social!$B$51</c:f>
              <c:strCache>
                <c:ptCount val="1"/>
                <c:pt idx="0">
                  <c:v>Número de empleados con discapacidad</c:v>
                </c:pt>
              </c:strCache>
            </c:strRef>
          </c:tx>
          <c:spPr>
            <a:solidFill>
              <a:srgbClr val="409DAD"/>
            </a:solidFill>
            <a:ln w="3175">
              <a:solidFill>
                <a:srgbClr val="FFFFFF"/>
              </a:solidFill>
              <a:prstDash val="solid"/>
            </a:ln>
          </c:spPr>
          <c:dLbls>
            <c:dLbl>
              <c:idx val="0"/>
              <c:layout>
                <c:manualLayout>
                  <c:x val="7.4171323342646686E-2"/>
                  <c:y val="-0.29506468314768342"/>
                </c:manualLayout>
              </c:layout>
              <c:showVal val="1"/>
              <c:extLst>
                <c:ext xmlns:c15="http://schemas.microsoft.com/office/drawing/2012/chart" uri="{CE6537A1-D6FC-4f65-9D91-7224C49458BB}"/>
              </c:extLst>
            </c:dLbl>
            <c:dLbl>
              <c:idx val="1"/>
              <c:layout>
                <c:manualLayout>
                  <c:x val="1.5893526197488309E-2"/>
                  <c:y val="-0.25214123855679099"/>
                </c:manualLayout>
              </c:layout>
              <c:spPr>
                <a:solidFill>
                  <a:sysClr val="window" lastClr="FFFFFF"/>
                </a:solidFill>
                <a:ln>
                  <a:noFill/>
                </a:ln>
                <a:effectLst/>
              </c:spPr>
              <c:txPr>
                <a:bodyPr wrap="square" lIns="38100" tIns="19050" rIns="38100" bIns="19050" anchor="ctr">
                  <a:spAutoFit/>
                </a:bodyPr>
                <a:lstStyle/>
                <a:p>
                  <a:pPr>
                    <a:defRPr sz="900">
                      <a:solidFill>
                        <a:srgbClr val="000000"/>
                      </a:solidFill>
                    </a:defRPr>
                  </a:pPr>
                  <a:endParaRPr lang="es-ES"/>
                </a:p>
              </c:txPr>
              <c:showVal val="1"/>
              <c:extLst>
                <c:ext xmlns:c15="http://schemas.microsoft.com/office/drawing/2012/chart" uri="{CE6537A1-D6FC-4f65-9D91-7224C49458BB}"/>
              </c:extLst>
            </c:dLbl>
            <c:dLbl>
              <c:idx val="2"/>
              <c:layout>
                <c:manualLayout>
                  <c:x val="-3.2588822084218504E-2"/>
                  <c:y val="-0.2892109597944334"/>
                </c:manualLayout>
              </c:layout>
              <c:spPr>
                <a:solidFill>
                  <a:sysClr val="window" lastClr="FFFFFF"/>
                </a:solidFill>
                <a:ln>
                  <a:noFill/>
                </a:ln>
                <a:effectLst/>
              </c:spPr>
              <c:txPr>
                <a:bodyPr wrap="square" lIns="38100" tIns="19050" rIns="38100" bIns="19050" anchor="ctr">
                  <a:spAutoFit/>
                </a:bodyPr>
                <a:lstStyle/>
                <a:p>
                  <a:pPr>
                    <a:defRPr sz="900">
                      <a:solidFill>
                        <a:srgbClr val="000000"/>
                      </a:solidFill>
                    </a:defRPr>
                  </a:pPr>
                  <a:endParaRPr lang="es-ES"/>
                </a:p>
              </c:txPr>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solidFill>
                      <a:srgbClr val="000000"/>
                    </a:solidFill>
                  </a:defRPr>
                </a:pPr>
                <a:endParaRPr lang="es-ES"/>
              </a:p>
            </c:txPr>
            <c:showVal val="1"/>
            <c:extLst>
              <c:ext xmlns:c15="http://schemas.microsoft.com/office/drawing/2012/chart" uri="{CE6537A1-D6FC-4f65-9D91-7224C49458BB}">
                <c15:showLeaderLines val="1"/>
              </c:ext>
            </c:extLst>
          </c:dLbls>
          <c:cat>
            <c:numRef>
              <c:f>Impacto_social!$C$50:$E$50</c:f>
              <c:numCache>
                <c:formatCode>General</c:formatCode>
                <c:ptCount val="3"/>
                <c:pt idx="0">
                  <c:v>2011</c:v>
                </c:pt>
                <c:pt idx="1">
                  <c:v>2012</c:v>
                </c:pt>
                <c:pt idx="2">
                  <c:v>2013</c:v>
                </c:pt>
              </c:numCache>
            </c:numRef>
          </c:cat>
          <c:val>
            <c:numRef>
              <c:f>Impacto_social!$C$51:$E$51</c:f>
              <c:numCache>
                <c:formatCode>General</c:formatCode>
                <c:ptCount val="3"/>
                <c:pt idx="0">
                  <c:v>18</c:v>
                </c:pt>
                <c:pt idx="1">
                  <c:v>19</c:v>
                </c:pt>
                <c:pt idx="2">
                  <c:v>18</c:v>
                </c:pt>
              </c:numCache>
            </c:numRef>
          </c:val>
        </c:ser>
        <c:ser>
          <c:idx val="1"/>
          <c:order val="1"/>
          <c:tx>
            <c:strRef>
              <c:f>Impacto_social!$B$52</c:f>
              <c:strCache>
                <c:ptCount val="1"/>
                <c:pt idx="0">
                  <c:v>Empleados con discapacidad con contrato Indefinido</c:v>
                </c:pt>
              </c:strCache>
            </c:strRef>
          </c:tx>
          <c:spPr>
            <a:pattFill prst="dkUpDiag">
              <a:fgClr>
                <a:srgbClr val="409DAD"/>
              </a:fgClr>
              <a:bgClr>
                <a:schemeClr val="bg1"/>
              </a:bgClr>
            </a:pattFill>
            <a:ln w="3175">
              <a:solidFill>
                <a:srgbClr val="FFFFFF"/>
              </a:solidFill>
              <a:prstDash val="solid"/>
            </a:ln>
          </c:spPr>
          <c:dLbls>
            <c:dLbl>
              <c:idx val="0"/>
              <c:layout>
                <c:manualLayout>
                  <c:x val="8.1473837947675889E-2"/>
                  <c:y val="-0.16938519133210289"/>
                </c:manualLayout>
              </c:layout>
              <c:showVal val="1"/>
              <c:extLst>
                <c:ext xmlns:c15="http://schemas.microsoft.com/office/drawing/2012/chart" uri="{CE6537A1-D6FC-4f65-9D91-7224C49458BB}"/>
              </c:extLst>
            </c:dLbl>
            <c:dLbl>
              <c:idx val="1"/>
              <c:layout>
                <c:manualLayout>
                  <c:x val="-1.2887410738486142E-3"/>
                  <c:y val="-0.12745595011187408"/>
                </c:manualLayout>
              </c:layout>
              <c:showVal val="1"/>
              <c:extLst>
                <c:ext xmlns:c15="http://schemas.microsoft.com/office/drawing/2012/chart" uri="{CE6537A1-D6FC-4f65-9D91-7224C49458BB}"/>
              </c:extLst>
            </c:dLbl>
            <c:dLbl>
              <c:idx val="2"/>
              <c:layout>
                <c:manualLayout>
                  <c:x val="-2.4427174101835078E-2"/>
                  <c:y val="-0.16040681343422267"/>
                </c:manualLayout>
              </c:layout>
              <c:showVal val="1"/>
              <c:extLst>
                <c:ext xmlns:c15="http://schemas.microsoft.com/office/drawing/2012/chart" uri="{CE6537A1-D6FC-4f65-9D91-7224C49458BB}"/>
              </c:extLst>
            </c:dLbl>
            <c:spPr>
              <a:solidFill>
                <a:schemeClr val="bg1"/>
              </a:solidFill>
              <a:ln>
                <a:noFill/>
              </a:ln>
              <a:effectLst/>
            </c:spPr>
            <c:txPr>
              <a:bodyPr wrap="square" lIns="38100" tIns="19050" rIns="38100" bIns="19050" anchor="ctr">
                <a:spAutoFit/>
              </a:bodyPr>
              <a:lstStyle/>
              <a:p>
                <a:pPr>
                  <a:defRPr sz="900">
                    <a:solidFill>
                      <a:srgbClr val="000000"/>
                    </a:solidFill>
                  </a:defRPr>
                </a:pPr>
                <a:endParaRPr lang="es-ES"/>
              </a:p>
            </c:txPr>
            <c:showVal val="1"/>
            <c:extLst>
              <c:ext xmlns:c15="http://schemas.microsoft.com/office/drawing/2012/chart" uri="{CE6537A1-D6FC-4f65-9D91-7224C49458BB}">
                <c15:showLeaderLines val="1"/>
              </c:ext>
            </c:extLst>
          </c:dLbls>
          <c:cat>
            <c:numRef>
              <c:f>Impacto_social!$C$50:$E$50</c:f>
              <c:numCache>
                <c:formatCode>General</c:formatCode>
                <c:ptCount val="3"/>
                <c:pt idx="0">
                  <c:v>2011</c:v>
                </c:pt>
                <c:pt idx="1">
                  <c:v>2012</c:v>
                </c:pt>
                <c:pt idx="2">
                  <c:v>2013</c:v>
                </c:pt>
              </c:numCache>
            </c:numRef>
          </c:cat>
          <c:val>
            <c:numRef>
              <c:f>Impacto_social!$C$52:$E$52</c:f>
              <c:numCache>
                <c:formatCode>General</c:formatCode>
                <c:ptCount val="3"/>
                <c:pt idx="0">
                  <c:v>18</c:v>
                </c:pt>
                <c:pt idx="1">
                  <c:v>17</c:v>
                </c:pt>
                <c:pt idx="2">
                  <c:v>17</c:v>
                </c:pt>
              </c:numCache>
            </c:numRef>
          </c:val>
        </c:ser>
        <c:dLbls/>
        <c:axId val="177944448"/>
        <c:axId val="177945984"/>
      </c:areaChart>
      <c:catAx>
        <c:axId val="177944448"/>
        <c:scaling>
          <c:orientation val="minMax"/>
        </c:scaling>
        <c:axPos val="b"/>
        <c:numFmt formatCode="General" sourceLinked="1"/>
        <c:tickLblPos val="low"/>
        <c:spPr>
          <a:ln w="3175">
            <a:solidFill>
              <a:srgbClr val="000000"/>
            </a:solidFill>
            <a:prstDash val="solid"/>
          </a:ln>
        </c:spPr>
        <c:txPr>
          <a:bodyPr/>
          <a:lstStyle/>
          <a:p>
            <a:pPr>
              <a:defRPr>
                <a:solidFill>
                  <a:srgbClr val="000000"/>
                </a:solidFill>
              </a:defRPr>
            </a:pPr>
            <a:endParaRPr lang="es-ES"/>
          </a:p>
        </c:txPr>
        <c:crossAx val="177945984"/>
        <c:crosses val="autoZero"/>
        <c:auto val="1"/>
        <c:lblAlgn val="ctr"/>
        <c:lblOffset val="100"/>
      </c:catAx>
      <c:valAx>
        <c:axId val="177945984"/>
        <c:scaling>
          <c:orientation val="minMax"/>
          <c:min val="0"/>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7944448"/>
        <c:crosses val="autoZero"/>
        <c:crossBetween val="midCat"/>
        <c:majorUnit val="2"/>
      </c:valAx>
      <c:spPr>
        <a:noFill/>
        <a:ln w="25400">
          <a:noFill/>
        </a:ln>
      </c:spPr>
    </c:plotArea>
    <c:legend>
      <c:legendPos val="b"/>
      <c:layout>
        <c:manualLayout>
          <c:xMode val="edge"/>
          <c:yMode val="edge"/>
          <c:x val="0"/>
          <c:y val="0.82611280306181534"/>
          <c:w val="0.96324136398272797"/>
          <c:h val="0.16088326097544151"/>
        </c:manualLayout>
      </c:layout>
      <c:spPr>
        <a:noFill/>
        <a:ln w="25400">
          <a:noFill/>
        </a:ln>
      </c:spPr>
      <c:txPr>
        <a:bodyPr/>
        <a:lstStyle/>
        <a:p>
          <a:pPr>
            <a:defRPr sz="800">
              <a:solidFill>
                <a:srgbClr val="000000"/>
              </a:solidFill>
            </a:defRPr>
          </a:pPr>
          <a:endParaRPr lang="es-ES"/>
        </a:p>
      </c:txPr>
    </c:legend>
    <c:plotVisOnly val="1"/>
    <c:dispBlanksAs val="zero"/>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Número medio</a:t>
            </a:r>
            <a:r>
              <a:rPr lang="es-ES" baseline="0"/>
              <a:t> de empleados totales por CEE</a:t>
            </a:r>
            <a:endParaRPr lang="es-ES"/>
          </a:p>
        </c:rich>
      </c:tx>
      <c:layout>
        <c:manualLayout>
          <c:xMode val="edge"/>
          <c:yMode val="edge"/>
          <c:x val="0.14255321487955366"/>
          <c:y val="4.1948918821695505E-2"/>
        </c:manualLayout>
      </c:layout>
    </c:title>
    <c:plotArea>
      <c:layout>
        <c:manualLayout>
          <c:layoutTarget val="inner"/>
          <c:xMode val="edge"/>
          <c:yMode val="edge"/>
          <c:x val="0.12936571582905687"/>
          <c:y val="0.23924521570726023"/>
          <c:w val="0.79536090970159057"/>
          <c:h val="0.63915246031139361"/>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1100"/>
                </a:pPr>
                <a:endParaRPr lang="es-ES"/>
              </a:p>
            </c:txPr>
            <c:dLblPos val="ctr"/>
            <c:showVal val="1"/>
            <c:extLst>
              <c:ext xmlns:c15="http://schemas.microsoft.com/office/drawing/2012/chart" uri="{CE6537A1-D6FC-4f65-9D91-7224C49458BB}">
                <c15:showLeaderLines val="0"/>
              </c:ext>
            </c:extLst>
          </c:dLbls>
          <c:cat>
            <c:strRef>
              <c:f>'Puntuaciones tras cambios'!$A$838:$A$840</c:f>
              <c:strCache>
                <c:ptCount val="3"/>
                <c:pt idx="0">
                  <c:v>Todos los CEEs</c:v>
                </c:pt>
                <c:pt idx="1">
                  <c:v>Iniciativa social</c:v>
                </c:pt>
                <c:pt idx="2">
                  <c:v>Iniciativa empresarial </c:v>
                </c:pt>
              </c:strCache>
            </c:strRef>
          </c:cat>
          <c:val>
            <c:numRef>
              <c:f>'Puntuaciones tras cambios'!$B$838:$B$840</c:f>
              <c:numCache>
                <c:formatCode>General</c:formatCode>
                <c:ptCount val="3"/>
                <c:pt idx="0">
                  <c:v>27</c:v>
                </c:pt>
                <c:pt idx="1">
                  <c:v>49</c:v>
                </c:pt>
                <c:pt idx="2">
                  <c:v>18</c:v>
                </c:pt>
              </c:numCache>
            </c:numRef>
          </c:val>
        </c:ser>
        <c:dLbls/>
        <c:gapWidth val="40"/>
        <c:axId val="130380928"/>
        <c:axId val="130382464"/>
      </c:barChart>
      <c:catAx>
        <c:axId val="130380928"/>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30382464"/>
        <c:crosses val="autoZero"/>
        <c:auto val="1"/>
        <c:lblAlgn val="ctr"/>
        <c:lblOffset val="100"/>
      </c:catAx>
      <c:valAx>
        <c:axId val="130382464"/>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30380928"/>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sz="900" b="0">
                <a:solidFill>
                  <a:schemeClr val="tx1"/>
                </a:solidFill>
              </a:rPr>
              <a:t>Evolución en el empleo de personas con discapacidad</a:t>
            </a:r>
          </a:p>
        </c:rich>
      </c:tx>
      <c:layout>
        <c:manualLayout>
          <c:xMode val="edge"/>
          <c:yMode val="edge"/>
          <c:x val="0.22043947822608723"/>
          <c:y val="4.3893147810305224E-3"/>
        </c:manualLayout>
      </c:layout>
    </c:title>
    <c:plotArea>
      <c:layout>
        <c:manualLayout>
          <c:layoutTarget val="inner"/>
          <c:xMode val="edge"/>
          <c:yMode val="edge"/>
          <c:x val="4.2993385234183459E-2"/>
          <c:y val="0.22383284022270325"/>
          <c:w val="0.91637691572655011"/>
          <c:h val="0.41297605656435815"/>
        </c:manualLayout>
      </c:layout>
      <c:barChart>
        <c:barDir val="col"/>
        <c:grouping val="clustered"/>
        <c:ser>
          <c:idx val="0"/>
          <c:order val="0"/>
          <c:tx>
            <c:strRef>
              <c:f>Impacto_social!$C$58</c:f>
              <c:strCache>
                <c:ptCount val="1"/>
                <c:pt idx="0">
                  <c:v>2011</c:v>
                </c:pt>
              </c:strCache>
            </c:strRef>
          </c:tx>
          <c:spPr>
            <a:solidFill>
              <a:srgbClr val="409DAD"/>
            </a:solidFill>
            <a:ln w="3175">
              <a:solidFill>
                <a:srgbClr val="FFFFFF"/>
              </a:solidFill>
              <a:prstDash val="solid"/>
            </a:ln>
          </c:spPr>
          <c:dLbls>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Impacto_social!$B$59:$B$63</c:f>
              <c:strCache>
                <c:ptCount val="5"/>
                <c:pt idx="0">
                  <c:v>Empleados con Discapacidad</c:v>
                </c:pt>
                <c:pt idx="1">
                  <c:v>Empleados con Discapacidad elevada</c:v>
                </c:pt>
                <c:pt idx="2">
                  <c:v>Mujeres con discapacidad</c:v>
                </c:pt>
                <c:pt idx="3">
                  <c:v>Empleados con discapacidad sin estudios</c:v>
                </c:pt>
                <c:pt idx="4">
                  <c:v>Empleados con discapacidad con contrato indefinido</c:v>
                </c:pt>
              </c:strCache>
            </c:strRef>
          </c:cat>
          <c:val>
            <c:numRef>
              <c:f>Impacto_social!$C$59:$C$63</c:f>
              <c:numCache>
                <c:formatCode>General</c:formatCode>
                <c:ptCount val="5"/>
                <c:pt idx="0">
                  <c:v>18</c:v>
                </c:pt>
                <c:pt idx="1">
                  <c:v>5</c:v>
                </c:pt>
                <c:pt idx="2">
                  <c:v>11</c:v>
                </c:pt>
                <c:pt idx="3">
                  <c:v>10</c:v>
                </c:pt>
                <c:pt idx="4">
                  <c:v>18</c:v>
                </c:pt>
              </c:numCache>
            </c:numRef>
          </c:val>
        </c:ser>
        <c:ser>
          <c:idx val="1"/>
          <c:order val="1"/>
          <c:tx>
            <c:strRef>
              <c:f>Impacto_social!$D$58</c:f>
              <c:strCache>
                <c:ptCount val="1"/>
                <c:pt idx="0">
                  <c:v>2012</c:v>
                </c:pt>
              </c:strCache>
            </c:strRef>
          </c:tx>
          <c:spPr>
            <a:solidFill>
              <a:srgbClr val="BFDEE4"/>
            </a:solidFill>
            <a:ln w="3175">
              <a:solidFill>
                <a:srgbClr val="FFFFFF"/>
              </a:solidFill>
              <a:prstDash val="solid"/>
            </a:ln>
          </c:spPr>
          <c:dLbls>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Impacto_social!$B$59:$B$63</c:f>
              <c:strCache>
                <c:ptCount val="5"/>
                <c:pt idx="0">
                  <c:v>Empleados con Discapacidad</c:v>
                </c:pt>
                <c:pt idx="1">
                  <c:v>Empleados con Discapacidad elevada</c:v>
                </c:pt>
                <c:pt idx="2">
                  <c:v>Mujeres con discapacidad</c:v>
                </c:pt>
                <c:pt idx="3">
                  <c:v>Empleados con discapacidad sin estudios</c:v>
                </c:pt>
                <c:pt idx="4">
                  <c:v>Empleados con discapacidad con contrato indefinido</c:v>
                </c:pt>
              </c:strCache>
            </c:strRef>
          </c:cat>
          <c:val>
            <c:numRef>
              <c:f>Impacto_social!$D$59:$D$63</c:f>
              <c:numCache>
                <c:formatCode>General</c:formatCode>
                <c:ptCount val="5"/>
                <c:pt idx="0">
                  <c:v>19</c:v>
                </c:pt>
                <c:pt idx="1">
                  <c:v>6</c:v>
                </c:pt>
                <c:pt idx="2">
                  <c:v>13</c:v>
                </c:pt>
                <c:pt idx="3">
                  <c:v>16</c:v>
                </c:pt>
                <c:pt idx="4">
                  <c:v>17</c:v>
                </c:pt>
              </c:numCache>
            </c:numRef>
          </c:val>
        </c:ser>
        <c:ser>
          <c:idx val="2"/>
          <c:order val="2"/>
          <c:tx>
            <c:strRef>
              <c:f>Impacto_social!$E$58</c:f>
              <c:strCache>
                <c:ptCount val="1"/>
                <c:pt idx="0">
                  <c:v>2013</c:v>
                </c:pt>
              </c:strCache>
            </c:strRef>
          </c:tx>
          <c:spPr>
            <a:solidFill>
              <a:srgbClr val="AA5CAA"/>
            </a:solidFill>
            <a:ln w="3175">
              <a:solidFill>
                <a:srgbClr val="FFFFFF"/>
              </a:solidFill>
              <a:prstDash val="solid"/>
            </a:ln>
          </c:spPr>
          <c:dLbls>
            <c:spPr>
              <a:noFill/>
              <a:ln>
                <a:noFill/>
              </a:ln>
              <a:effectLst/>
            </c:spPr>
            <c:txPr>
              <a:bodyPr wrap="square" lIns="38100" tIns="19050" rIns="38100" bIns="19050" anchor="ctr">
                <a:spAutoFit/>
              </a:bodyPr>
              <a:lstStyle/>
              <a:p>
                <a:pPr>
                  <a:defRPr sz="900"/>
                </a:pPr>
                <a:endParaRPr lang="es-ES"/>
              </a:p>
            </c:txPr>
            <c:showVal val="1"/>
            <c:extLst>
              <c:ext xmlns:c15="http://schemas.microsoft.com/office/drawing/2012/chart" uri="{CE6537A1-D6FC-4f65-9D91-7224C49458BB}">
                <c15:showLeaderLines val="1"/>
              </c:ext>
            </c:extLst>
          </c:dLbls>
          <c:cat>
            <c:strRef>
              <c:f>Impacto_social!$B$59:$B$63</c:f>
              <c:strCache>
                <c:ptCount val="5"/>
                <c:pt idx="0">
                  <c:v>Empleados con Discapacidad</c:v>
                </c:pt>
                <c:pt idx="1">
                  <c:v>Empleados con Discapacidad elevada</c:v>
                </c:pt>
                <c:pt idx="2">
                  <c:v>Mujeres con discapacidad</c:v>
                </c:pt>
                <c:pt idx="3">
                  <c:v>Empleados con discapacidad sin estudios</c:v>
                </c:pt>
                <c:pt idx="4">
                  <c:v>Empleados con discapacidad con contrato indefinido</c:v>
                </c:pt>
              </c:strCache>
            </c:strRef>
          </c:cat>
          <c:val>
            <c:numRef>
              <c:f>Impacto_social!$E$59:$E$63</c:f>
              <c:numCache>
                <c:formatCode>General</c:formatCode>
                <c:ptCount val="5"/>
                <c:pt idx="0">
                  <c:v>18</c:v>
                </c:pt>
                <c:pt idx="1">
                  <c:v>5</c:v>
                </c:pt>
                <c:pt idx="2">
                  <c:v>16</c:v>
                </c:pt>
                <c:pt idx="3">
                  <c:v>18</c:v>
                </c:pt>
                <c:pt idx="4">
                  <c:v>17</c:v>
                </c:pt>
              </c:numCache>
            </c:numRef>
          </c:val>
        </c:ser>
        <c:dLbls/>
        <c:gapWidth val="40"/>
        <c:axId val="178136576"/>
        <c:axId val="178138112"/>
      </c:barChart>
      <c:catAx>
        <c:axId val="178136576"/>
        <c:scaling>
          <c:orientation val="minMax"/>
        </c:scaling>
        <c:axPos val="b"/>
        <c:numFmt formatCode="General" sourceLinked="1"/>
        <c:tickLblPos val="low"/>
        <c:spPr>
          <a:ln w="3175">
            <a:solidFill>
              <a:srgbClr val="000000"/>
            </a:solidFill>
            <a:prstDash val="solid"/>
          </a:ln>
        </c:spPr>
        <c:txPr>
          <a:bodyPr/>
          <a:lstStyle/>
          <a:p>
            <a:pPr>
              <a:defRPr sz="900">
                <a:solidFill>
                  <a:srgbClr val="000000"/>
                </a:solidFill>
              </a:defRPr>
            </a:pPr>
            <a:endParaRPr lang="es-ES"/>
          </a:p>
        </c:txPr>
        <c:crossAx val="178138112"/>
        <c:crosses val="autoZero"/>
        <c:auto val="1"/>
        <c:lblAlgn val="ctr"/>
        <c:lblOffset val="100"/>
      </c:catAx>
      <c:valAx>
        <c:axId val="178138112"/>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78136576"/>
        <c:crosses val="autoZero"/>
        <c:crossBetween val="between"/>
      </c:valAx>
      <c:spPr>
        <a:noFill/>
        <a:ln w="25400">
          <a:noFill/>
        </a:ln>
      </c:spPr>
    </c:plotArea>
    <c:legend>
      <c:legendPos val="b"/>
      <c:layout>
        <c:manualLayout>
          <c:xMode val="edge"/>
          <c:yMode val="edge"/>
          <c:x val="0.35160202517018391"/>
          <c:y val="0.9067611917402052"/>
          <c:w val="0.24196086881360293"/>
          <c:h val="5.6115843041472831E-2"/>
        </c:manualLayout>
      </c:layout>
      <c:spPr>
        <a:noFill/>
        <a:ln w="25400">
          <a:noFill/>
        </a:ln>
      </c:spPr>
      <c:txPr>
        <a:bodyPr/>
        <a:lstStyle/>
        <a:p>
          <a:pPr>
            <a:defRPr sz="900">
              <a:solidFill>
                <a:srgbClr val="000000"/>
              </a:solidFill>
            </a:defRPr>
          </a:pPr>
          <a:endParaRPr lang="es-ES"/>
        </a:p>
      </c:txPr>
    </c:legend>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l">
              <a:defRPr sz="900" b="1">
                <a:solidFill>
                  <a:srgbClr val="00338D"/>
                </a:solidFill>
                <a:latin typeface="Arial"/>
                <a:ea typeface="Arial"/>
                <a:cs typeface="Arial"/>
              </a:defRPr>
            </a:pPr>
            <a:r>
              <a:rPr lang="es-ES"/>
              <a:t>Número medio de años de actividad</a:t>
            </a:r>
          </a:p>
        </c:rich>
      </c:tx>
      <c:layout>
        <c:manualLayout>
          <c:xMode val="edge"/>
          <c:yMode val="edge"/>
          <c:x val="0.15302432842332728"/>
          <c:y val="6.2253650332543486E-2"/>
        </c:manualLayout>
      </c:layout>
    </c:title>
    <c:plotArea>
      <c:layout>
        <c:manualLayout>
          <c:layoutTarget val="inner"/>
          <c:xMode val="edge"/>
          <c:yMode val="edge"/>
          <c:x val="0.12936571582905687"/>
          <c:y val="0.23924521570726034"/>
          <c:w val="0.79536090970159057"/>
          <c:h val="0.63915246031139361"/>
        </c:manualLayout>
      </c:layout>
      <c:barChart>
        <c:barDir val="col"/>
        <c:grouping val="clustered"/>
        <c:ser>
          <c:idx val="0"/>
          <c:order val="0"/>
          <c:spPr>
            <a:solidFill>
              <a:srgbClr val="409DAD"/>
            </a:solidFill>
            <a:ln w="3175">
              <a:solidFill>
                <a:srgbClr val="FFFFFF"/>
              </a:solidFill>
              <a:prstDash val="solid"/>
            </a:ln>
          </c:spPr>
          <c:dLbls>
            <c:spPr>
              <a:noFill/>
              <a:ln>
                <a:noFill/>
              </a:ln>
              <a:effectLst/>
            </c:spPr>
            <c:txPr>
              <a:bodyPr/>
              <a:lstStyle/>
              <a:p>
                <a:pPr>
                  <a:defRPr sz="1100"/>
                </a:pPr>
                <a:endParaRPr lang="es-ES"/>
              </a:p>
            </c:txPr>
            <c:dLblPos val="ctr"/>
            <c:showVal val="1"/>
            <c:extLst>
              <c:ext xmlns:c15="http://schemas.microsoft.com/office/drawing/2012/chart" uri="{CE6537A1-D6FC-4f65-9D91-7224C49458BB}">
                <c15:showLeaderLines val="0"/>
              </c:ext>
            </c:extLst>
          </c:dLbls>
          <c:cat>
            <c:strRef>
              <c:f>'Puntuaciones tras cambios'!$A$842:$A$844</c:f>
              <c:strCache>
                <c:ptCount val="3"/>
                <c:pt idx="0">
                  <c:v>Todos los CEEs</c:v>
                </c:pt>
                <c:pt idx="1">
                  <c:v>Iniciativa social</c:v>
                </c:pt>
                <c:pt idx="2">
                  <c:v>Iniciativa empresarial </c:v>
                </c:pt>
              </c:strCache>
            </c:strRef>
          </c:cat>
          <c:val>
            <c:numRef>
              <c:f>'Puntuaciones tras cambios'!$B$842:$B$844</c:f>
              <c:numCache>
                <c:formatCode>General</c:formatCode>
                <c:ptCount val="3"/>
                <c:pt idx="0">
                  <c:v>10</c:v>
                </c:pt>
                <c:pt idx="1">
                  <c:v>14</c:v>
                </c:pt>
                <c:pt idx="2">
                  <c:v>9</c:v>
                </c:pt>
              </c:numCache>
            </c:numRef>
          </c:val>
        </c:ser>
        <c:dLbls/>
        <c:gapWidth val="40"/>
        <c:axId val="130402560"/>
        <c:axId val="130408448"/>
      </c:barChart>
      <c:catAx>
        <c:axId val="130402560"/>
        <c:scaling>
          <c:orientation val="minMax"/>
        </c:scaling>
        <c:axPos val="b"/>
        <c:numFmt formatCode="General" sourceLinked="0"/>
        <c:tickLblPos val="low"/>
        <c:spPr>
          <a:ln w="3175">
            <a:solidFill>
              <a:srgbClr val="000000"/>
            </a:solidFill>
            <a:prstDash val="solid"/>
          </a:ln>
        </c:spPr>
        <c:txPr>
          <a:bodyPr/>
          <a:lstStyle/>
          <a:p>
            <a:pPr>
              <a:defRPr sz="900">
                <a:solidFill>
                  <a:srgbClr val="000000"/>
                </a:solidFill>
              </a:defRPr>
            </a:pPr>
            <a:endParaRPr lang="es-ES"/>
          </a:p>
        </c:txPr>
        <c:crossAx val="130408448"/>
        <c:crosses val="autoZero"/>
        <c:auto val="1"/>
        <c:lblAlgn val="ctr"/>
        <c:lblOffset val="100"/>
      </c:catAx>
      <c:valAx>
        <c:axId val="130408448"/>
        <c:scaling>
          <c:orientation val="minMax"/>
        </c:scaling>
        <c:axPos val="l"/>
        <c:numFmt formatCode="General" sourceLinked="1"/>
        <c:tickLblPos val="nextTo"/>
        <c:spPr>
          <a:ln w="3175">
            <a:solidFill>
              <a:srgbClr val="000000"/>
            </a:solidFill>
            <a:prstDash val="solid"/>
          </a:ln>
        </c:spPr>
        <c:txPr>
          <a:bodyPr/>
          <a:lstStyle/>
          <a:p>
            <a:pPr>
              <a:defRPr>
                <a:solidFill>
                  <a:srgbClr val="000000"/>
                </a:solidFill>
              </a:defRPr>
            </a:pPr>
            <a:endParaRPr lang="es-ES"/>
          </a:p>
        </c:txPr>
        <c:crossAx val="130402560"/>
        <c:crosses val="autoZero"/>
        <c:crossBetween val="between"/>
      </c:valAx>
      <c:spPr>
        <a:noFill/>
        <a:ln w="25400">
          <a:noFill/>
        </a:ln>
      </c:spPr>
    </c:plotArea>
    <c:plotVisOnly val="1"/>
    <c:dispBlanksAs val="gap"/>
  </c:chart>
  <c:spPr>
    <a:noFill/>
    <a:ln w="9525">
      <a:noFill/>
    </a:ln>
  </c:spPr>
  <c:txPr>
    <a:bodyPr/>
    <a:lstStyle/>
    <a:p>
      <a:pPr>
        <a:defRPr sz="800" b="0" i="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26322710476851074"/>
          <c:y val="5.2157004586421432E-2"/>
          <c:w val="0.45238108694814488"/>
          <c:h val="0.58504149308204989"/>
        </c:manualLayout>
      </c:layout>
      <c:doughnutChart>
        <c:varyColors val="1"/>
        <c:ser>
          <c:idx val="0"/>
          <c:order val="0"/>
          <c:dLbls>
            <c:spPr>
              <a:noFill/>
              <a:ln>
                <a:noFill/>
              </a:ln>
              <a:effectLst/>
            </c:spPr>
            <c:txPr>
              <a:bodyPr/>
              <a:lstStyle/>
              <a:p>
                <a:pPr>
                  <a:defRPr sz="1100" b="1">
                    <a:solidFill>
                      <a:schemeClr val="bg1"/>
                    </a:solidFill>
                  </a:defRPr>
                </a:pPr>
                <a:endParaRPr lang="es-ES"/>
              </a:p>
            </c:txPr>
            <c:showVal val="1"/>
            <c:showLeaderLines val="1"/>
            <c:extLst>
              <c:ext xmlns:c15="http://schemas.microsoft.com/office/drawing/2012/chart" uri="{CE6537A1-D6FC-4f65-9D91-7224C49458BB}"/>
            </c:extLst>
          </c:dLbls>
          <c:cat>
            <c:strRef>
              <c:f>'Indicadores financieros'!$B$49:$B$55</c:f>
              <c:strCache>
                <c:ptCount val="7"/>
                <c:pt idx="0">
                  <c:v>Liquidez, o capacidad de hacer frente a obligaciones a corto plazo</c:v>
                </c:pt>
                <c:pt idx="1">
                  <c:v>Solvencia, o capacidad de hacer frente a obligaciones a largo plazo</c:v>
                </c:pt>
                <c:pt idx="2">
                  <c:v>Endeudamiento menor de 40%</c:v>
                </c:pt>
                <c:pt idx="3">
                  <c:v>Rentabilidad superior al 10%</c:v>
                </c:pt>
                <c:pt idx="4">
                  <c:v>Incidencias nulas o irrelevantes</c:v>
                </c:pt>
                <c:pt idx="5">
                  <c:v>Más de 10 años de actividad</c:v>
                </c:pt>
                <c:pt idx="6">
                  <c:v>Facturación media por empleado superior a 20.000 euros</c:v>
                </c:pt>
              </c:strCache>
            </c:strRef>
          </c:cat>
          <c:val>
            <c:numRef>
              <c:f>'Indicadores financieros'!$R$49:$R$55</c:f>
              <c:numCache>
                <c:formatCode>0%</c:formatCode>
                <c:ptCount val="7"/>
                <c:pt idx="0">
                  <c:v>0.63975155279503115</c:v>
                </c:pt>
                <c:pt idx="1">
                  <c:v>0.51552795031055898</c:v>
                </c:pt>
                <c:pt idx="2">
                  <c:v>0.59006211180124191</c:v>
                </c:pt>
                <c:pt idx="3">
                  <c:v>0.18518518518518523</c:v>
                </c:pt>
                <c:pt idx="4">
                  <c:v>0.89440993788819889</c:v>
                </c:pt>
                <c:pt idx="5">
                  <c:v>0.4733727810650889</c:v>
                </c:pt>
                <c:pt idx="6">
                  <c:v>0.53416149068322982</c:v>
                </c:pt>
              </c:numCache>
            </c:numRef>
          </c:val>
        </c:ser>
        <c:dLbls/>
        <c:firstSliceAng val="0"/>
        <c:holeSize val="50"/>
      </c:doughnutChart>
    </c:plotArea>
    <c:legend>
      <c:legendPos val="r"/>
      <c:layout>
        <c:manualLayout>
          <c:xMode val="edge"/>
          <c:yMode val="edge"/>
          <c:x val="0.1082522596584074"/>
          <c:y val="0.68125725787421132"/>
          <c:w val="0.84517638394711259"/>
          <c:h val="0.28578696651870339"/>
        </c:manualLayout>
      </c:layout>
      <c:txPr>
        <a:bodyPr/>
        <a:lstStyle/>
        <a:p>
          <a:pPr rtl="0">
            <a:defRPr sz="900"/>
          </a:pPr>
          <a:endParaRPr lang="es-ES"/>
        </a:p>
      </c:txPr>
    </c:legend>
    <c:plotVisOnly val="1"/>
    <c:dispBlanksAs val="zero"/>
  </c:chart>
  <c:spPr>
    <a:ln>
      <a:noFill/>
    </a:ln>
  </c:spPr>
  <c:externalData r:id="rId1"/>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0.29963</cdr:x>
      <cdr:y>0.28889</cdr:y>
    </cdr:from>
    <cdr:to>
      <cdr:x>0.59167</cdr:x>
      <cdr:y>0.81686</cdr:y>
    </cdr:to>
    <cdr:grpSp>
      <cdr:nvGrpSpPr>
        <cdr:cNvPr id="5" name="Group 4"/>
        <cdr:cNvGrpSpPr/>
      </cdr:nvGrpSpPr>
      <cdr:grpSpPr>
        <a:xfrm xmlns:a="http://schemas.openxmlformats.org/drawingml/2006/main">
          <a:off x="1618230" y="1206356"/>
          <a:ext cx="1577197" cy="2204659"/>
          <a:chOff x="1520037" y="1215892"/>
          <a:chExt cx="1564310" cy="1730212"/>
        </a:xfrm>
      </cdr:grpSpPr>
      <cdr:sp macro="" textlink="">
        <cdr:nvSpPr>
          <cdr:cNvPr id="3" name="Rectangle 2"/>
          <cdr:cNvSpPr/>
        </cdr:nvSpPr>
        <cdr:spPr>
          <a:xfrm xmlns:a="http://schemas.openxmlformats.org/drawingml/2006/main">
            <a:off x="2002672" y="1215892"/>
            <a:ext cx="1081675" cy="45602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ES_tradnl" sz="1100" b="1" dirty="0" smtClean="0">
                <a:solidFill>
                  <a:srgbClr val="0070C0"/>
                </a:solidFill>
              </a:rPr>
              <a:t>Todos</a:t>
            </a:r>
            <a:r>
              <a:rPr lang="es-ES_tradnl" sz="1100" b="1" baseline="0" dirty="0" smtClean="0">
                <a:solidFill>
                  <a:srgbClr val="0070C0"/>
                </a:solidFill>
              </a:rPr>
              <a:t> los CEEs</a:t>
            </a:r>
            <a:endParaRPr lang="es-ES_tradnl" sz="1100" b="1" dirty="0" smtClean="0">
              <a:solidFill>
                <a:srgbClr val="0070C0"/>
              </a:solidFill>
            </a:endParaRPr>
          </a:p>
          <a:p xmlns:a="http://schemas.openxmlformats.org/drawingml/2006/main">
            <a:pPr algn="ctr"/>
            <a:endParaRPr lang="es-ES" sz="1000" b="1" dirty="0">
              <a:solidFill>
                <a:srgbClr val="0070C0"/>
              </a:solidFill>
            </a:endParaRPr>
          </a:p>
        </cdr:txBody>
      </cdr:sp>
      <cdr:sp macro="" textlink="">
        <cdr:nvSpPr>
          <cdr:cNvPr id="4" name="TextBox 3"/>
          <cdr:cNvSpPr txBox="1"/>
        </cdr:nvSpPr>
        <cdr:spPr>
          <a:xfrm xmlns:a="http://schemas.openxmlformats.org/drawingml/2006/main">
            <a:off x="1520037" y="2729798"/>
            <a:ext cx="567538" cy="2163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400" b="1">
              <a:solidFill>
                <a:schemeClr val="bg1"/>
              </a:solidFill>
            </a:endParaRPr>
          </a:p>
        </cdr:txBody>
      </cdr:sp>
    </cdr:grpSp>
  </cdr:relSizeAnchor>
  <cdr:relSizeAnchor xmlns:cdr="http://schemas.openxmlformats.org/drawingml/2006/chartDrawing">
    <cdr:from>
      <cdr:x>0.38065</cdr:x>
      <cdr:y>0.2614</cdr:y>
    </cdr:from>
    <cdr:to>
      <cdr:x>0.56743</cdr:x>
      <cdr:y>0.3901</cdr:y>
    </cdr:to>
    <cdr:grpSp>
      <cdr:nvGrpSpPr>
        <cdr:cNvPr id="2" name="Group 4"/>
        <cdr:cNvGrpSpPr/>
      </cdr:nvGrpSpPr>
      <cdr:grpSpPr>
        <a:xfrm xmlns:a="http://schemas.openxmlformats.org/drawingml/2006/main">
          <a:off x="2222549" y="1180182"/>
          <a:ext cx="1090575" cy="581061"/>
          <a:chOff x="2204448" y="926212"/>
          <a:chExt cx="1081675" cy="456029"/>
        </a:xfrm>
      </cdr:grpSpPr>
      <cdr:sp macro="" textlink="">
        <cdr:nvSpPr>
          <cdr:cNvPr id="6" name="Rectangle 2"/>
          <cdr:cNvSpPr/>
        </cdr:nvSpPr>
        <cdr:spPr>
          <a:xfrm xmlns:a="http://schemas.openxmlformats.org/drawingml/2006/main">
            <a:off x="2204448" y="926212"/>
            <a:ext cx="1081675" cy="45602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s-ES" sz="1000" b="1" dirty="0">
              <a:solidFill>
                <a:srgbClr val="0070C0"/>
              </a:solidFill>
            </a:endParaRPr>
          </a:p>
        </cdr:txBody>
      </cdr:sp>
    </cdr:grpSp>
  </cdr:relSizeAnchor>
</c:userShapes>
</file>

<file path=word/drawings/drawing10.xml><?xml version="1.0" encoding="utf-8"?>
<c:userShapes xmlns:c="http://schemas.openxmlformats.org/drawingml/2006/chart">
  <cdr:relSizeAnchor xmlns:cdr="http://schemas.openxmlformats.org/drawingml/2006/chartDrawing">
    <cdr:from>
      <cdr:x>0.10171</cdr:x>
      <cdr:y>0</cdr:y>
    </cdr:from>
    <cdr:to>
      <cdr:x>0.80521</cdr:x>
      <cdr:y>0.10729</cdr:y>
    </cdr:to>
    <cdr:sp macro="" textlink="">
      <cdr:nvSpPr>
        <cdr:cNvPr id="2" name="Text Box 1"/>
        <cdr:cNvSpPr txBox="1"/>
      </cdr:nvSpPr>
      <cdr:spPr>
        <a:xfrm xmlns:a="http://schemas.openxmlformats.org/drawingml/2006/main">
          <a:off x="286247" y="0"/>
          <a:ext cx="1979875" cy="246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Evolución</a:t>
          </a:r>
          <a:r>
            <a:rPr lang="es-ES" sz="900" baseline="0"/>
            <a:t> de Liquidez y Solvencia</a:t>
          </a:r>
          <a:endParaRPr lang="es-ES" sz="900"/>
        </a:p>
      </cdr:txBody>
    </cdr:sp>
  </cdr:relSizeAnchor>
</c:userShapes>
</file>

<file path=word/drawings/drawing11.xml><?xml version="1.0" encoding="utf-8"?>
<c:userShapes xmlns:c="http://schemas.openxmlformats.org/drawingml/2006/chart">
  <cdr:relSizeAnchor xmlns:cdr="http://schemas.openxmlformats.org/drawingml/2006/chartDrawing">
    <cdr:from>
      <cdr:x>0.12431</cdr:x>
      <cdr:y>0</cdr:y>
    </cdr:from>
    <cdr:to>
      <cdr:x>0.79674</cdr:x>
      <cdr:y>0.09486</cdr:y>
    </cdr:to>
    <cdr:sp macro="" textlink="">
      <cdr:nvSpPr>
        <cdr:cNvPr id="2" name="Text Box 1"/>
        <cdr:cNvSpPr txBox="1"/>
      </cdr:nvSpPr>
      <cdr:spPr>
        <a:xfrm xmlns:a="http://schemas.openxmlformats.org/drawingml/2006/main">
          <a:off x="349857" y="0"/>
          <a:ext cx="1892411" cy="1908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Evolución Ventas y Beneficios</a:t>
          </a:r>
        </a:p>
      </cdr:txBody>
    </cdr:sp>
  </cdr:relSizeAnchor>
</c:userShapes>
</file>

<file path=word/drawings/drawing12.xml><?xml version="1.0" encoding="utf-8"?>
<c:userShapes xmlns:c="http://schemas.openxmlformats.org/drawingml/2006/chart">
  <cdr:relSizeAnchor xmlns:cdr="http://schemas.openxmlformats.org/drawingml/2006/chartDrawing">
    <cdr:from>
      <cdr:x>0.04601</cdr:x>
      <cdr:y>0</cdr:y>
    </cdr:from>
    <cdr:to>
      <cdr:x>0.9417</cdr:x>
      <cdr:y>0.23723</cdr:y>
    </cdr:to>
    <cdr:sp macro="" textlink="">
      <cdr:nvSpPr>
        <cdr:cNvPr id="2" name="Text Box 1"/>
        <cdr:cNvSpPr txBox="1"/>
      </cdr:nvSpPr>
      <cdr:spPr>
        <a:xfrm xmlns:a="http://schemas.openxmlformats.org/drawingml/2006/main">
          <a:off x="119269" y="0"/>
          <a:ext cx="2321671" cy="477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t>Evolución número de empleados con discapacidad con contrato indefinido</a:t>
          </a:r>
        </a:p>
      </cdr:txBody>
    </cdr:sp>
  </cdr:relSizeAnchor>
</c:userShapes>
</file>

<file path=word/drawings/drawing13.xml><?xml version="1.0" encoding="utf-8"?>
<c:userShapes xmlns:c="http://schemas.openxmlformats.org/drawingml/2006/chart">
  <cdr:relSizeAnchor xmlns:cdr="http://schemas.openxmlformats.org/drawingml/2006/chartDrawing">
    <cdr:from>
      <cdr:x>0.50902</cdr:x>
      <cdr:y>0.41638</cdr:y>
    </cdr:from>
    <cdr:to>
      <cdr:x>0.74396</cdr:x>
      <cdr:y>0.53295</cdr:y>
    </cdr:to>
    <cdr:sp macro="" textlink="">
      <cdr:nvSpPr>
        <cdr:cNvPr id="2" name="TextBox 1"/>
        <cdr:cNvSpPr txBox="1"/>
      </cdr:nvSpPr>
      <cdr:spPr>
        <a:xfrm xmlns:a="http://schemas.openxmlformats.org/drawingml/2006/main">
          <a:off x="2327255" y="565155"/>
          <a:ext cx="1074145" cy="1582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900"/>
            <a:t>Sobresaliente</a:t>
          </a:r>
        </a:p>
      </cdr:txBody>
    </cdr:sp>
  </cdr:relSizeAnchor>
</c:userShapes>
</file>

<file path=word/drawings/drawing14.xml><?xml version="1.0" encoding="utf-8"?>
<c:userShapes xmlns:c="http://schemas.openxmlformats.org/drawingml/2006/chart">
  <cdr:relSizeAnchor xmlns:cdr="http://schemas.openxmlformats.org/drawingml/2006/chartDrawing">
    <cdr:from>
      <cdr:x>0.23053</cdr:x>
      <cdr:y>0.40397</cdr:y>
    </cdr:from>
    <cdr:to>
      <cdr:x>0.46547</cdr:x>
      <cdr:y>0.52054</cdr:y>
    </cdr:to>
    <cdr:sp macro="" textlink="">
      <cdr:nvSpPr>
        <cdr:cNvPr id="2" name="TextBox 1"/>
        <cdr:cNvSpPr txBox="1"/>
      </cdr:nvSpPr>
      <cdr:spPr>
        <a:xfrm xmlns:a="http://schemas.openxmlformats.org/drawingml/2006/main">
          <a:off x="1053990" y="548187"/>
          <a:ext cx="1074146" cy="158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900"/>
            <a:t>Buena</a:t>
          </a:r>
        </a:p>
      </cdr:txBody>
    </cdr:sp>
  </cdr:relSizeAnchor>
</c:userShapes>
</file>

<file path=word/drawings/drawing15.xml><?xml version="1.0" encoding="utf-8"?>
<c:userShapes xmlns:c="http://schemas.openxmlformats.org/drawingml/2006/chart">
  <cdr:relSizeAnchor xmlns:cdr="http://schemas.openxmlformats.org/drawingml/2006/chartDrawing">
    <cdr:from>
      <cdr:x>0.60842</cdr:x>
      <cdr:y>0.40936</cdr:y>
    </cdr:from>
    <cdr:to>
      <cdr:x>0.84336</cdr:x>
      <cdr:y>0.52593</cdr:y>
    </cdr:to>
    <cdr:sp macro="" textlink="">
      <cdr:nvSpPr>
        <cdr:cNvPr id="2" name="TextBox 1"/>
        <cdr:cNvSpPr txBox="1"/>
      </cdr:nvSpPr>
      <cdr:spPr>
        <a:xfrm xmlns:a="http://schemas.openxmlformats.org/drawingml/2006/main">
          <a:off x="2915003" y="555501"/>
          <a:ext cx="1125615" cy="1581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900">
              <a:latin typeface="+mn-lt"/>
              <a:ea typeface="+mn-ea"/>
              <a:cs typeface="+mn-cs"/>
            </a:rPr>
            <a:t>Calificación</a:t>
          </a:r>
          <a:r>
            <a:rPr lang="es-ES" sz="900"/>
            <a:t>ble</a:t>
          </a:r>
        </a:p>
      </cdr:txBody>
    </cdr:sp>
  </cdr:relSizeAnchor>
</c:userShapes>
</file>

<file path=word/drawings/drawing2.xml><?xml version="1.0" encoding="utf-8"?>
<c:userShapes xmlns:c="http://schemas.openxmlformats.org/drawingml/2006/chart">
  <cdr:relSizeAnchor xmlns:cdr="http://schemas.openxmlformats.org/drawingml/2006/chartDrawing">
    <cdr:from>
      <cdr:x>0.2421</cdr:x>
      <cdr:y>0.43523</cdr:y>
    </cdr:from>
    <cdr:to>
      <cdr:x>0.41368</cdr:x>
      <cdr:y>0.57968</cdr:y>
    </cdr:to>
    <cdr:sp macro="" textlink="">
      <cdr:nvSpPr>
        <cdr:cNvPr id="3" name="Rectangle 2"/>
        <cdr:cNvSpPr/>
      </cdr:nvSpPr>
      <cdr:spPr>
        <a:xfrm xmlns:a="http://schemas.openxmlformats.org/drawingml/2006/main">
          <a:off x="1349031" y="2081084"/>
          <a:ext cx="956019" cy="6906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ES_tradnl" sz="1200" b="1" dirty="0" smtClean="0">
              <a:solidFill>
                <a:srgbClr val="0070C0"/>
              </a:solidFill>
            </a:rPr>
            <a:t>Todos los</a:t>
          </a:r>
          <a:r>
            <a:rPr lang="es-ES_tradnl" sz="1200" b="1" baseline="0" dirty="0" smtClean="0">
              <a:solidFill>
                <a:srgbClr val="0070C0"/>
              </a:solidFill>
            </a:rPr>
            <a:t> CEEs</a:t>
          </a:r>
          <a:endParaRPr lang="es-ES" sz="1200" b="1" dirty="0">
            <a:solidFill>
              <a:srgbClr val="0070C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0.22308</cdr:x>
      <cdr:y>0.03736</cdr:y>
    </cdr:from>
    <cdr:to>
      <cdr:x>0.95577</cdr:x>
      <cdr:y>0.12931</cdr:y>
    </cdr:to>
    <cdr:sp macro="" textlink="">
      <cdr:nvSpPr>
        <cdr:cNvPr id="2" name="TextBox 1"/>
        <cdr:cNvSpPr txBox="1"/>
      </cdr:nvSpPr>
      <cdr:spPr>
        <a:xfrm xmlns:a="http://schemas.openxmlformats.org/drawingml/2006/main">
          <a:off x="1104900" y="123824"/>
          <a:ext cx="3629026"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Porcentaje</a:t>
          </a:r>
          <a:r>
            <a:rPr lang="es-ES" sz="900" baseline="0"/>
            <a:t> de centros que muestran el grado de acuerdo especificado</a:t>
          </a:r>
          <a:endParaRPr lang="es-ES" sz="900"/>
        </a:p>
      </cdr:txBody>
    </cdr:sp>
  </cdr:relSizeAnchor>
  <cdr:relSizeAnchor xmlns:cdr="http://schemas.openxmlformats.org/drawingml/2006/chartDrawing">
    <cdr:from>
      <cdr:x>0.09615</cdr:x>
      <cdr:y>0.07184</cdr:y>
    </cdr:from>
    <cdr:to>
      <cdr:x>0.20962</cdr:x>
      <cdr:y>0.94828</cdr:y>
    </cdr:to>
    <cdr:sp macro="" textlink="">
      <cdr:nvSpPr>
        <cdr:cNvPr id="5" name="TextBox 4"/>
        <cdr:cNvSpPr txBox="1"/>
      </cdr:nvSpPr>
      <cdr:spPr>
        <a:xfrm xmlns:a="http://schemas.openxmlformats.org/drawingml/2006/main">
          <a:off x="476250" y="238124"/>
          <a:ext cx="561975" cy="290512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s-ES" sz="900"/>
            <a:t>Grado de acuerdo (1 =</a:t>
          </a:r>
          <a:r>
            <a:rPr lang="es-ES" sz="900" baseline="0"/>
            <a:t> completamente en desacuerdo; 10= completamente de acuerdo</a:t>
          </a:r>
          <a:endParaRPr lang="es-ES" sz="900"/>
        </a:p>
      </cdr:txBody>
    </cdr:sp>
  </cdr:relSizeAnchor>
</c:userShapes>
</file>

<file path=word/drawings/drawing4.xml><?xml version="1.0" encoding="utf-8"?>
<c:userShapes xmlns:c="http://schemas.openxmlformats.org/drawingml/2006/chart">
  <cdr:relSizeAnchor xmlns:cdr="http://schemas.openxmlformats.org/drawingml/2006/chartDrawing">
    <cdr:from>
      <cdr:x>0.22308</cdr:x>
      <cdr:y>0.03736</cdr:y>
    </cdr:from>
    <cdr:to>
      <cdr:x>0.95577</cdr:x>
      <cdr:y>0.12931</cdr:y>
    </cdr:to>
    <cdr:sp macro="" textlink="">
      <cdr:nvSpPr>
        <cdr:cNvPr id="2" name="TextBox 1"/>
        <cdr:cNvSpPr txBox="1"/>
      </cdr:nvSpPr>
      <cdr:spPr>
        <a:xfrm xmlns:a="http://schemas.openxmlformats.org/drawingml/2006/main">
          <a:off x="1104900" y="123824"/>
          <a:ext cx="3629026"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Porcentaje</a:t>
          </a:r>
          <a:r>
            <a:rPr lang="es-ES" sz="900" baseline="0"/>
            <a:t> de centros que muestran el grado de acuerdo especificado</a:t>
          </a:r>
          <a:endParaRPr lang="es-ES" sz="900"/>
        </a:p>
      </cdr:txBody>
    </cdr:sp>
  </cdr:relSizeAnchor>
  <cdr:relSizeAnchor xmlns:cdr="http://schemas.openxmlformats.org/drawingml/2006/chartDrawing">
    <cdr:from>
      <cdr:x>0.09615</cdr:x>
      <cdr:y>0.07184</cdr:y>
    </cdr:from>
    <cdr:to>
      <cdr:x>0.20962</cdr:x>
      <cdr:y>0.94828</cdr:y>
    </cdr:to>
    <cdr:sp macro="" textlink="">
      <cdr:nvSpPr>
        <cdr:cNvPr id="5" name="TextBox 4"/>
        <cdr:cNvSpPr txBox="1"/>
      </cdr:nvSpPr>
      <cdr:spPr>
        <a:xfrm xmlns:a="http://schemas.openxmlformats.org/drawingml/2006/main">
          <a:off x="476250" y="238124"/>
          <a:ext cx="561975" cy="290512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s-ES" sz="900"/>
            <a:t>Grado de acuerdo (1 =</a:t>
          </a:r>
          <a:r>
            <a:rPr lang="es-ES" sz="900" baseline="0"/>
            <a:t> completamente en desacuerdo; 10= completamente de acuerdo</a:t>
          </a:r>
          <a:endParaRPr lang="es-ES" sz="900"/>
        </a:p>
      </cdr:txBody>
    </cdr:sp>
  </cdr:relSizeAnchor>
</c:userShapes>
</file>

<file path=word/drawings/drawing5.xml><?xml version="1.0" encoding="utf-8"?>
<c:userShapes xmlns:c="http://schemas.openxmlformats.org/drawingml/2006/chart">
  <cdr:relSizeAnchor xmlns:cdr="http://schemas.openxmlformats.org/drawingml/2006/chartDrawing">
    <cdr:from>
      <cdr:x>0.22308</cdr:x>
      <cdr:y>0.03736</cdr:y>
    </cdr:from>
    <cdr:to>
      <cdr:x>0.95577</cdr:x>
      <cdr:y>0.12931</cdr:y>
    </cdr:to>
    <cdr:sp macro="" textlink="">
      <cdr:nvSpPr>
        <cdr:cNvPr id="2" name="TextBox 1"/>
        <cdr:cNvSpPr txBox="1"/>
      </cdr:nvSpPr>
      <cdr:spPr>
        <a:xfrm xmlns:a="http://schemas.openxmlformats.org/drawingml/2006/main">
          <a:off x="1104900" y="123824"/>
          <a:ext cx="3629026"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Porcentaje</a:t>
          </a:r>
          <a:r>
            <a:rPr lang="es-ES" sz="900" baseline="0"/>
            <a:t> de centros que muestran el grado de acuerdo especificado</a:t>
          </a:r>
          <a:endParaRPr lang="es-ES" sz="900"/>
        </a:p>
      </cdr:txBody>
    </cdr:sp>
  </cdr:relSizeAnchor>
  <cdr:relSizeAnchor xmlns:cdr="http://schemas.openxmlformats.org/drawingml/2006/chartDrawing">
    <cdr:from>
      <cdr:x>0.09615</cdr:x>
      <cdr:y>0.07184</cdr:y>
    </cdr:from>
    <cdr:to>
      <cdr:x>0.20962</cdr:x>
      <cdr:y>0.94828</cdr:y>
    </cdr:to>
    <cdr:sp macro="" textlink="">
      <cdr:nvSpPr>
        <cdr:cNvPr id="5" name="TextBox 4"/>
        <cdr:cNvSpPr txBox="1"/>
      </cdr:nvSpPr>
      <cdr:spPr>
        <a:xfrm xmlns:a="http://schemas.openxmlformats.org/drawingml/2006/main">
          <a:off x="476250" y="238124"/>
          <a:ext cx="561975" cy="290512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s-ES" sz="900"/>
            <a:t>Grado de acuerdo (1 =</a:t>
          </a:r>
          <a:r>
            <a:rPr lang="es-ES" sz="900" baseline="0"/>
            <a:t> completamente en desacuerdo; 10= completamente de acuerdo</a:t>
          </a:r>
          <a:endParaRPr lang="es-ES" sz="900"/>
        </a:p>
      </cdr:txBody>
    </cdr:sp>
  </cdr:relSizeAnchor>
</c:userShapes>
</file>

<file path=word/drawings/drawing6.xml><?xml version="1.0" encoding="utf-8"?>
<c:userShapes xmlns:c="http://schemas.openxmlformats.org/drawingml/2006/chart">
  <cdr:relSizeAnchor xmlns:cdr="http://schemas.openxmlformats.org/drawingml/2006/chartDrawing">
    <cdr:from>
      <cdr:x>0.22308</cdr:x>
      <cdr:y>0.03736</cdr:y>
    </cdr:from>
    <cdr:to>
      <cdr:x>0.95577</cdr:x>
      <cdr:y>0.12931</cdr:y>
    </cdr:to>
    <cdr:sp macro="" textlink="">
      <cdr:nvSpPr>
        <cdr:cNvPr id="2" name="TextBox 1"/>
        <cdr:cNvSpPr txBox="1"/>
      </cdr:nvSpPr>
      <cdr:spPr>
        <a:xfrm xmlns:a="http://schemas.openxmlformats.org/drawingml/2006/main">
          <a:off x="1104900" y="123824"/>
          <a:ext cx="3629026"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Porcentaje</a:t>
          </a:r>
          <a:r>
            <a:rPr lang="es-ES" sz="900" baseline="0"/>
            <a:t> de centros que muestran el grado de acuerdo especificado</a:t>
          </a:r>
          <a:endParaRPr lang="es-ES" sz="900"/>
        </a:p>
      </cdr:txBody>
    </cdr:sp>
  </cdr:relSizeAnchor>
  <cdr:relSizeAnchor xmlns:cdr="http://schemas.openxmlformats.org/drawingml/2006/chartDrawing">
    <cdr:from>
      <cdr:x>0.09615</cdr:x>
      <cdr:y>0.07184</cdr:y>
    </cdr:from>
    <cdr:to>
      <cdr:x>0.20962</cdr:x>
      <cdr:y>0.94828</cdr:y>
    </cdr:to>
    <cdr:sp macro="" textlink="">
      <cdr:nvSpPr>
        <cdr:cNvPr id="5" name="TextBox 4"/>
        <cdr:cNvSpPr txBox="1"/>
      </cdr:nvSpPr>
      <cdr:spPr>
        <a:xfrm xmlns:a="http://schemas.openxmlformats.org/drawingml/2006/main">
          <a:off x="476250" y="238124"/>
          <a:ext cx="561975" cy="290512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s-ES" sz="900"/>
            <a:t>Grado de acuerdo (1 =</a:t>
          </a:r>
          <a:r>
            <a:rPr lang="es-ES" sz="900" baseline="0"/>
            <a:t> completamente en desacuerdo; 10= completamente de acuerdo</a:t>
          </a:r>
          <a:endParaRPr lang="es-ES" sz="900"/>
        </a:p>
      </cdr:txBody>
    </cdr:sp>
  </cdr:relSizeAnchor>
</c:userShapes>
</file>

<file path=word/drawings/drawing7.xml><?xml version="1.0" encoding="utf-8"?>
<c:userShapes xmlns:c="http://schemas.openxmlformats.org/drawingml/2006/chart">
  <cdr:relSizeAnchor xmlns:cdr="http://schemas.openxmlformats.org/drawingml/2006/chartDrawing">
    <cdr:from>
      <cdr:x>0.59574</cdr:x>
      <cdr:y>0.35316</cdr:y>
    </cdr:from>
    <cdr:to>
      <cdr:x>0.83068</cdr:x>
      <cdr:y>0.46973</cdr:y>
    </cdr:to>
    <cdr:sp macro="" textlink="">
      <cdr:nvSpPr>
        <cdr:cNvPr id="2" name="TextBox 1"/>
        <cdr:cNvSpPr txBox="1"/>
      </cdr:nvSpPr>
      <cdr:spPr>
        <a:xfrm xmlns:a="http://schemas.openxmlformats.org/drawingml/2006/main">
          <a:off x="2633710" y="249820"/>
          <a:ext cx="1038639" cy="824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900"/>
            <a:t>Sobresaliente</a:t>
          </a:r>
        </a:p>
      </cdr:txBody>
    </cdr:sp>
  </cdr:relSizeAnchor>
</c:userShapes>
</file>

<file path=word/drawings/drawing8.xml><?xml version="1.0" encoding="utf-8"?>
<c:userShapes xmlns:c="http://schemas.openxmlformats.org/drawingml/2006/chart">
  <cdr:relSizeAnchor xmlns:cdr="http://schemas.openxmlformats.org/drawingml/2006/chartDrawing">
    <cdr:from>
      <cdr:x>0.32986</cdr:x>
      <cdr:y>0.3883</cdr:y>
    </cdr:from>
    <cdr:to>
      <cdr:x>0.5648</cdr:x>
      <cdr:y>0.50487</cdr:y>
    </cdr:to>
    <cdr:sp macro="" textlink="">
      <cdr:nvSpPr>
        <cdr:cNvPr id="2" name="TextBox 1"/>
        <cdr:cNvSpPr txBox="1"/>
      </cdr:nvSpPr>
      <cdr:spPr>
        <a:xfrm xmlns:a="http://schemas.openxmlformats.org/drawingml/2006/main">
          <a:off x="1508105" y="526923"/>
          <a:ext cx="1074145" cy="158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900"/>
            <a:t>Buena</a:t>
          </a:r>
        </a:p>
      </cdr:txBody>
    </cdr:sp>
  </cdr:relSizeAnchor>
</c:userShapes>
</file>

<file path=word/drawings/drawing9.xml><?xml version="1.0" encoding="utf-8"?>
<c:userShapes xmlns:c="http://schemas.openxmlformats.org/drawingml/2006/chart">
  <cdr:relSizeAnchor xmlns:cdr="http://schemas.openxmlformats.org/drawingml/2006/chartDrawing">
    <cdr:from>
      <cdr:x>0.53194</cdr:x>
      <cdr:y>0.40234</cdr:y>
    </cdr:from>
    <cdr:to>
      <cdr:x>0.76688</cdr:x>
      <cdr:y>0.51891</cdr:y>
    </cdr:to>
    <cdr:sp macro="" textlink="">
      <cdr:nvSpPr>
        <cdr:cNvPr id="2" name="TextBox 1"/>
        <cdr:cNvSpPr txBox="1"/>
      </cdr:nvSpPr>
      <cdr:spPr>
        <a:xfrm xmlns:a="http://schemas.openxmlformats.org/drawingml/2006/main">
          <a:off x="2432030" y="546105"/>
          <a:ext cx="1074145" cy="1582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900"/>
            <a:t>Buena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2B8099-AFA3-4C54-B027-44B414A06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report_es</Template>
  <TotalTime>1</TotalTime>
  <Pages>39</Pages>
  <Words>30783</Words>
  <Characters>161304</Characters>
  <Application>Microsoft Office Word</Application>
  <DocSecurity>0</DocSecurity>
  <Lines>3934</Lines>
  <Paragraphs>1536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KPMG KIDS Report v4.01</vt:lpstr>
      <vt:lpstr>KPMG KIDS Report v4.01</vt:lpstr>
    </vt:vector>
  </TitlesOfParts>
  <Company>KPMG</Company>
  <LinksUpToDate>false</LinksUpToDate>
  <CharactersWithSpaces>190551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KIDS Report v4.01</dc:title>
  <dc:creator>marianalanzas</dc:creator>
  <cp:lastModifiedBy>jcmartinez</cp:lastModifiedBy>
  <cp:revision>3</cp:revision>
  <cp:lastPrinted>2014-12-22T16:27:00Z</cp:lastPrinted>
  <dcterms:created xsi:type="dcterms:W3CDTF">2015-02-05T15:40:00Z</dcterms:created>
  <dcterms:modified xsi:type="dcterms:W3CDTF">2015-02-05T15:52:00Z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dd/MM/yyyy</vt:lpwstr>
  </property>
  <property fmtid="{D5CDD505-2E9C-101B-9397-08002B2CF9AE}" pid="3" name="KISFirmDispName">
    <vt:lpwstr>Firm name</vt:lpwstr>
  </property>
  <property fmtid="{D5CDD505-2E9C-101B-9397-08002B2CF9AE}" pid="4" name="KISFirmPrtName">
    <vt:lpwstr>Firm name</vt:lpwstr>
  </property>
  <property fmtid="{D5CDD505-2E9C-101B-9397-08002B2CF9AE}" pid="5" name="KISFirmInfoA">
    <vt:lpwstr>FirmInfoA</vt:lpwstr>
  </property>
  <property fmtid="{D5CDD505-2E9C-101B-9397-08002B2CF9AE}" pid="6" name="KISFirmInfoB">
    <vt:lpwstr>FirmInfoB</vt:lpwstr>
  </property>
  <property fmtid="{D5CDD505-2E9C-101B-9397-08002B2CF9AE}" pid="7" name="KISFirmInfoC">
    <vt:lpwstr>FirmInfoC</vt:lpwstr>
  </property>
  <property fmtid="{D5CDD505-2E9C-101B-9397-08002B2CF9AE}" pid="8" name="KISFirmDesc">
    <vt:lpwstr>(Member firm legal name), a (member firm jurisdiction and legal structure), is the (jurisdiction) member firm of KPMG International, a Swiss cooperative.</vt:lpwstr>
  </property>
  <property fmtid="{D5CDD505-2E9C-101B-9397-08002B2CF9AE}" pid="9" name="KISSvcDispName">
    <vt:lpwstr>Core service or market</vt:lpwstr>
  </property>
  <property fmtid="{D5CDD505-2E9C-101B-9397-08002B2CF9AE}" pid="10" name="KISSvcPrtName">
    <vt:lpwstr>Core service or market</vt:lpwstr>
  </property>
  <property fmtid="{D5CDD505-2E9C-101B-9397-08002B2CF9AE}" pid="11" name="KISSvcInfoA">
    <vt:lpwstr>SvcInfoA</vt:lpwstr>
  </property>
  <property fmtid="{D5CDD505-2E9C-101B-9397-08002B2CF9AE}" pid="12" name="KISSvcInfoB">
    <vt:lpwstr>SvcInfoB</vt:lpwstr>
  </property>
  <property fmtid="{D5CDD505-2E9C-101B-9397-08002B2CF9AE}" pid="13" name="KISSvcInfoC">
    <vt:lpwstr>SvcInfoC</vt:lpwstr>
  </property>
  <property fmtid="{D5CDD505-2E9C-101B-9397-08002B2CF9AE}" pid="14" name="KISOffName">
    <vt:lpwstr>Office</vt:lpwstr>
  </property>
  <property fmtid="{D5CDD505-2E9C-101B-9397-08002B2CF9AE}" pid="15" name="KISOffCity">
    <vt:lpwstr>City</vt:lpwstr>
  </property>
  <property fmtid="{D5CDD505-2E9C-101B-9397-08002B2CF9AE}" pid="16" name="KISOffInfoA">
    <vt:lpwstr>OffInfoA</vt:lpwstr>
  </property>
  <property fmtid="{D5CDD505-2E9C-101B-9397-08002B2CF9AE}" pid="17" name="KISOff1Addr">
    <vt:lpwstr>Street address</vt:lpwstr>
  </property>
  <property fmtid="{D5CDD505-2E9C-101B-9397-08002B2CF9AE}" pid="18" name="KISOff2Addr">
    <vt:lpwstr>Postal address</vt:lpwstr>
  </property>
  <property fmtid="{D5CDD505-2E9C-101B-9397-08002B2CF9AE}" pid="19" name="KISOff3Addr">
    <vt:lpwstr>Telephone, fax</vt:lpwstr>
  </property>
  <property fmtid="{D5CDD505-2E9C-101B-9397-08002B2CF9AE}" pid="20" name="KISClient">
    <vt:lpwstr>Client name</vt:lpwstr>
  </property>
  <property fmtid="{D5CDD505-2E9C-101B-9397-08002B2CF9AE}" pid="21" name="KISSubject">
    <vt:lpwstr>Report title</vt:lpwstr>
  </property>
  <property fmtid="{D5CDD505-2E9C-101B-9397-08002B2CF9AE}" pid="22" name="KISRepSubTitle">
    <vt:lpwstr>Subtitle / optional date</vt:lpwstr>
  </property>
  <property fmtid="{D5CDD505-2E9C-101B-9397-08002B2CF9AE}" pid="23" name="KISHdrInfo">
    <vt:lpwstr>Date of issue</vt:lpwstr>
  </property>
  <property fmtid="{D5CDD505-2E9C-101B-9397-08002B2CF9AE}" pid="24" name="KISTmpltVer">
    <vt:lpwstr>3.0</vt:lpwstr>
  </property>
  <property fmtid="{D5CDD505-2E9C-101B-9397-08002B2CF9AE}" pid="25" name="KISFirmCopyright">
    <vt:lpwstr>© yyyy (member firm legal name), the (member firm jurisdiction) member firm of KPMG International, a Swiss cooperative. All rights reserved.</vt:lpwstr>
  </property>
  <property fmtid="{D5CDD505-2E9C-101B-9397-08002B2CF9AE}" pid="26" name="KISFirmCopyright2">
    <vt:lpwstr> </vt:lpwstr>
  </property>
  <property fmtid="{D5CDD505-2E9C-101B-9397-08002B2CF9AE}" pid="27" name="KISHdrInfoA">
    <vt:lpwstr>Core service or market</vt:lpwstr>
  </property>
  <property fmtid="{D5CDD505-2E9C-101B-9397-08002B2CF9AE}" pid="28" name="_MarkAsFinal">
    <vt:bool>true</vt:bool>
  </property>
</Properties>
</file>